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38EF8">
      <w:pPr>
        <w:spacing w:line="360" w:lineRule="auto"/>
        <w:ind w:firstLine="560" w:firstLineChars="200"/>
        <w:rPr>
          <w:rFonts w:hint="eastAsia" w:ascii="仿宋" w:hAnsi="仿宋" w:eastAsia="仿宋" w:cs="仿宋"/>
          <w:color w:val="auto"/>
          <w:sz w:val="28"/>
          <w:szCs w:val="28"/>
          <w:highlight w:val="none"/>
        </w:rPr>
      </w:pPr>
    </w:p>
    <w:p w14:paraId="048D85FC">
      <w:pPr>
        <w:spacing w:line="360" w:lineRule="auto"/>
        <w:jc w:val="center"/>
        <w:rPr>
          <w:rFonts w:ascii="宋体" w:hAnsi="宋体"/>
          <w:b/>
          <w:color w:val="auto"/>
          <w:sz w:val="72"/>
          <w:szCs w:val="72"/>
          <w:highlight w:val="none"/>
        </w:rPr>
      </w:pPr>
    </w:p>
    <w:p w14:paraId="42D5A2CF">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lang w:eastAsia="zh-CN"/>
        </w:rPr>
        <w:t>福建省莆田监狱</w:t>
      </w:r>
      <w:r>
        <w:rPr>
          <w:rFonts w:hint="eastAsia" w:ascii="宋体" w:hAnsi="宋体"/>
          <w:b/>
          <w:color w:val="auto"/>
          <w:sz w:val="72"/>
          <w:szCs w:val="72"/>
          <w:highlight w:val="none"/>
        </w:rPr>
        <w:t xml:space="preserve"> </w:t>
      </w:r>
    </w:p>
    <w:p w14:paraId="063F61DE">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14:paraId="48365AA4">
      <w:pPr>
        <w:pStyle w:val="11"/>
        <w:spacing w:line="0" w:lineRule="atLeast"/>
        <w:rPr>
          <w:rFonts w:hAnsi="宋体"/>
          <w:b/>
          <w:color w:val="auto"/>
          <w:sz w:val="32"/>
          <w:highlight w:val="none"/>
        </w:rPr>
      </w:pPr>
    </w:p>
    <w:p w14:paraId="068712D2">
      <w:pPr>
        <w:pStyle w:val="11"/>
        <w:spacing w:line="0" w:lineRule="atLeast"/>
        <w:jc w:val="center"/>
        <w:rPr>
          <w:rFonts w:hAnsi="宋体"/>
          <w:b/>
          <w:color w:val="auto"/>
          <w:sz w:val="36"/>
          <w:highlight w:val="none"/>
        </w:rPr>
      </w:pPr>
    </w:p>
    <w:p w14:paraId="29D4FBDC">
      <w:pPr>
        <w:pStyle w:val="11"/>
        <w:spacing w:line="0" w:lineRule="atLeast"/>
        <w:jc w:val="center"/>
        <w:rPr>
          <w:rFonts w:hAnsi="宋体"/>
          <w:b/>
          <w:color w:val="auto"/>
          <w:sz w:val="36"/>
          <w:highlight w:val="none"/>
        </w:rPr>
      </w:pPr>
    </w:p>
    <w:p w14:paraId="22D4E2ED">
      <w:pPr>
        <w:pStyle w:val="11"/>
        <w:spacing w:line="0" w:lineRule="atLeast"/>
        <w:jc w:val="center"/>
        <w:rPr>
          <w:rFonts w:hAnsi="宋体"/>
          <w:b/>
          <w:color w:val="auto"/>
          <w:sz w:val="36"/>
          <w:highlight w:val="none"/>
        </w:rPr>
      </w:pPr>
    </w:p>
    <w:p w14:paraId="1BE33FCB">
      <w:pPr>
        <w:pStyle w:val="11"/>
        <w:spacing w:line="400" w:lineRule="exact"/>
        <w:rPr>
          <w:rFonts w:hAnsi="宋体"/>
          <w:b/>
          <w:color w:val="auto"/>
          <w:sz w:val="36"/>
          <w:highlight w:val="none"/>
        </w:rPr>
      </w:pPr>
    </w:p>
    <w:p w14:paraId="1F6B3744">
      <w:pPr>
        <w:pStyle w:val="11"/>
        <w:spacing w:line="640" w:lineRule="exact"/>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FJKZB-6218122024</w:t>
      </w:r>
    </w:p>
    <w:p w14:paraId="18A94ABE">
      <w:pPr>
        <w:pStyle w:val="11"/>
        <w:spacing w:line="640" w:lineRule="exact"/>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莆田监狱亲情电话服务（含远程视频功能）采购项目</w:t>
      </w:r>
    </w:p>
    <w:p w14:paraId="0FDE071B">
      <w:pPr>
        <w:pStyle w:val="11"/>
        <w:spacing w:line="640" w:lineRule="exact"/>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福建省莆田监狱</w:t>
      </w:r>
      <w:r>
        <w:rPr>
          <w:rFonts w:hint="eastAsia" w:hAnsi="宋体"/>
          <w:b/>
          <w:color w:val="auto"/>
          <w:sz w:val="32"/>
          <w:szCs w:val="32"/>
          <w:highlight w:val="none"/>
        </w:rPr>
        <w:t xml:space="preserve">   </w:t>
      </w:r>
    </w:p>
    <w:p w14:paraId="679580FF">
      <w:pPr>
        <w:spacing w:line="500" w:lineRule="exact"/>
        <w:rPr>
          <w:rFonts w:ascii="宋体" w:hAnsi="宋体"/>
          <w:b/>
          <w:color w:val="auto"/>
          <w:sz w:val="48"/>
          <w:highlight w:val="none"/>
        </w:rPr>
      </w:pPr>
    </w:p>
    <w:p w14:paraId="3DA45992">
      <w:pPr>
        <w:pStyle w:val="4"/>
        <w:rPr>
          <w:color w:val="auto"/>
          <w:sz w:val="48"/>
          <w:highlight w:val="none"/>
        </w:rPr>
      </w:pPr>
    </w:p>
    <w:p w14:paraId="54AC8CE7">
      <w:pPr>
        <w:rPr>
          <w:color w:val="auto"/>
          <w:highlight w:val="none"/>
        </w:rPr>
      </w:pPr>
    </w:p>
    <w:p w14:paraId="69CE5BE8">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14:paraId="4FC69980">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二〇二四年</w:t>
      </w:r>
      <w:r>
        <w:rPr>
          <w:rFonts w:hint="eastAsia" w:ascii="宋体" w:hAnsi="宋体"/>
          <w:b/>
          <w:color w:val="auto"/>
          <w:sz w:val="32"/>
          <w:szCs w:val="32"/>
          <w:highlight w:val="none"/>
          <w:lang w:eastAsia="zh-CN"/>
        </w:rPr>
        <w:t>十二</w:t>
      </w:r>
      <w:r>
        <w:rPr>
          <w:rFonts w:hint="eastAsia" w:ascii="宋体" w:hAnsi="宋体"/>
          <w:b/>
          <w:color w:val="auto"/>
          <w:sz w:val="32"/>
          <w:szCs w:val="32"/>
          <w:highlight w:val="none"/>
        </w:rPr>
        <w:t>月</w:t>
      </w:r>
    </w:p>
    <w:p w14:paraId="04247BC5">
      <w:pPr>
        <w:pStyle w:val="6"/>
        <w:rPr>
          <w:rFonts w:ascii="宋体" w:hAnsi="宋体"/>
          <w:color w:val="auto"/>
          <w:highlight w:val="none"/>
        </w:rPr>
      </w:pPr>
    </w:p>
    <w:p w14:paraId="64D2CC4F">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7FC89E81">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14:paraId="3D39A08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lang w:eastAsia="zh-CN"/>
        </w:rPr>
        <w:t>福建省莆田监狱</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color w:val="auto"/>
          <w:kern w:val="0"/>
          <w:sz w:val="24"/>
          <w:highlight w:val="none"/>
          <w:u w:val="single"/>
          <w:lang w:eastAsia="zh-CN"/>
        </w:rPr>
        <w:t>莆田监狱亲情电话服务（含远程视频功能）采购项目</w:t>
      </w:r>
      <w:r>
        <w:rPr>
          <w:rFonts w:hint="eastAsia" w:ascii="宋体" w:hAnsi="宋体" w:cs="宋体"/>
          <w:color w:val="auto"/>
          <w:kern w:val="0"/>
          <w:sz w:val="24"/>
          <w:highlight w:val="none"/>
        </w:rPr>
        <w:t>的成交供应商。现邀请合格的供应商对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14:paraId="4664E146">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FJKZB-6218122024</w:t>
      </w:r>
    </w:p>
    <w:p w14:paraId="4DB56F47">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highlight w:val="none"/>
          <w:lang w:eastAsia="zh-CN"/>
        </w:rPr>
        <w:t>莆田监狱亲情电话服务（含远程视频功能）采购项目</w:t>
      </w:r>
    </w:p>
    <w:p w14:paraId="01B20880">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14:paraId="6CFA207B">
      <w:pPr>
        <w:pStyle w:val="16"/>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14:paraId="330C8760">
      <w:pPr>
        <w:spacing w:line="360" w:lineRule="auto"/>
        <w:ind w:firstLine="480" w:firstLineChars="200"/>
        <w:rPr>
          <w:rFonts w:ascii="宋体" w:hAnsi="宋体"/>
          <w:color w:val="auto"/>
          <w:sz w:val="24"/>
          <w:highlight w:val="none"/>
        </w:rPr>
      </w:pPr>
      <w:bookmarkStart w:id="0" w:name="OLE_LINK5"/>
      <w:bookmarkStart w:id="1" w:name="_Toc21403"/>
      <w:r>
        <w:rPr>
          <w:rFonts w:hint="eastAsia" w:ascii="宋体" w:hAnsi="宋体"/>
          <w:color w:val="auto"/>
          <w:sz w:val="24"/>
          <w:highlight w:val="none"/>
        </w:rPr>
        <w:t>报名开始时间：2024年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25</w:t>
      </w:r>
      <w:r>
        <w:rPr>
          <w:rFonts w:hint="eastAsia" w:ascii="宋体" w:hAnsi="宋体"/>
          <w:color w:val="auto"/>
          <w:sz w:val="24"/>
          <w:highlight w:val="none"/>
        </w:rPr>
        <w:t>日   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0</w:t>
      </w:r>
      <w:r>
        <w:rPr>
          <w:rFonts w:hint="eastAsia" w:ascii="宋体" w:hAnsi="宋体"/>
          <w:color w:val="auto"/>
          <w:sz w:val="24"/>
          <w:highlight w:val="none"/>
        </w:rPr>
        <w:t>0:00</w:t>
      </w:r>
    </w:p>
    <w:p w14:paraId="1C3A332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报名截止时间：2024年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30</w:t>
      </w:r>
      <w:r>
        <w:rPr>
          <w:rFonts w:hint="eastAsia" w:ascii="宋体" w:hAnsi="宋体"/>
          <w:color w:val="auto"/>
          <w:sz w:val="24"/>
          <w:highlight w:val="none"/>
        </w:rPr>
        <w:t>日   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0:00</w:t>
      </w:r>
    </w:p>
    <w:p w14:paraId="7BB3F03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网上竞价开始时间：2024年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31</w:t>
      </w:r>
      <w:r>
        <w:rPr>
          <w:rFonts w:hint="eastAsia" w:ascii="宋体" w:hAnsi="宋体"/>
          <w:color w:val="auto"/>
          <w:sz w:val="24"/>
          <w:highlight w:val="none"/>
        </w:rPr>
        <w:t>日   09:30:00</w:t>
      </w:r>
    </w:p>
    <w:p w14:paraId="40C9837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网上竞价截止时间：2024年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31</w:t>
      </w:r>
      <w:r>
        <w:rPr>
          <w:rFonts w:hint="eastAsia" w:ascii="宋体" w:hAnsi="宋体"/>
          <w:color w:val="auto"/>
          <w:sz w:val="24"/>
          <w:highlight w:val="none"/>
        </w:rPr>
        <w:t>日   11:30:00</w:t>
      </w:r>
    </w:p>
    <w:bookmarkEnd w:id="0"/>
    <w:p w14:paraId="46EFEE70">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5.供应商资格要求</w:t>
      </w:r>
    </w:p>
    <w:p w14:paraId="692FA6ED">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14:paraId="019FC425">
      <w:pPr>
        <w:pStyle w:val="29"/>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14:paraId="46F66AFE">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4B764D51">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46DB1A0">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14:paraId="521FF5B6">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14:paraId="4A69B7DB">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特定资格要求：（若有）。</w:t>
      </w:r>
    </w:p>
    <w:p w14:paraId="07A857C3">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w:t>
      </w:r>
      <w:bookmarkStart w:id="2" w:name="OLE_LINK10"/>
      <w:r>
        <w:rPr>
          <w:rFonts w:hint="eastAsia" w:ascii="宋体" w:hAnsi="宋体"/>
          <w:color w:val="auto"/>
          <w:sz w:val="24"/>
          <w:highlight w:val="none"/>
        </w:rPr>
        <w:t>日。②信用记录查询渠道：信用中国（www.creditchina.gov.cn）、中国政府采购网（www.ccgp.gov.cn）。 ③信用记录的查询：由采购代理机构通过上述网站查询并打印供应商的</w:t>
      </w:r>
      <w:bookmarkEnd w:id="2"/>
      <w:r>
        <w:rPr>
          <w:rFonts w:hint="eastAsia" w:ascii="宋体" w:hAnsi="宋体"/>
          <w:color w:val="auto"/>
          <w:sz w:val="24"/>
          <w:highlight w:val="none"/>
        </w:rPr>
        <w:t>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56B6DE0C">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14:paraId="720A6CFB">
      <w:pPr>
        <w:spacing w:line="360" w:lineRule="auto"/>
        <w:ind w:firstLine="481"/>
        <w:rPr>
          <w:rFonts w:hint="eastAsia" w:ascii="宋体" w:hAnsi="宋体"/>
          <w:color w:val="auto"/>
          <w:sz w:val="24"/>
          <w:highlight w:val="none"/>
        </w:rPr>
      </w:pPr>
      <w:r>
        <w:rPr>
          <w:rFonts w:hint="eastAsia" w:ascii="宋体" w:hAnsi="宋体"/>
          <w:color w:val="auto"/>
          <w:sz w:val="24"/>
          <w:highlight w:val="none"/>
        </w:rPr>
        <w:t>注：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CA9B48A">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14:paraId="0AD2B6FF">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14:paraId="418BD76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14:paraId="2B5BD4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116</w:t>
      </w:r>
      <w:r>
        <w:rPr>
          <w:rFonts w:hint="eastAsia" w:ascii="宋体" w:hAnsi="宋体" w:cs="宋体"/>
          <w:color w:val="auto"/>
          <w:sz w:val="24"/>
          <w:highlight w:val="none"/>
        </w:rPr>
        <w:t>0元人民币，网上竞价保证金须以对公转账、支票、汇票等非现金形式提交且应在报名截止时间前到达指定账户，否则报名审核不合格。采购代理机构将以网上竞价保证金收款银行提供的保证金到帐时间为依据进行确认。</w:t>
      </w:r>
    </w:p>
    <w:p w14:paraId="5756283D">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14:paraId="3CA085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14:paraId="6BC755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14:paraId="52FC72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14:paraId="7CA661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14:paraId="1E2FA1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代理服务费：按成交金额的差额定率累进法计算后，成交供应商收取。成交供应商应在领取成交通知书的同时以现金、转账、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14:paraId="37A7E42F">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14:paraId="4F0C2561">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福建省莆田监狱</w:t>
      </w:r>
    </w:p>
    <w:p w14:paraId="22F58518">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  址：</w:t>
      </w:r>
      <w:r>
        <w:rPr>
          <w:rFonts w:hint="eastAsia" w:ascii="宋体" w:hAnsi="宋体"/>
          <w:color w:val="auto"/>
          <w:sz w:val="24"/>
          <w:highlight w:val="none"/>
          <w:lang w:eastAsia="zh-CN"/>
        </w:rPr>
        <w:t>福建省莆田市涵江区新涵大街2089号</w:t>
      </w:r>
    </w:p>
    <w:p w14:paraId="6F792A88">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olor w:val="auto"/>
          <w:sz w:val="24"/>
          <w:highlight w:val="none"/>
        </w:rPr>
        <w:t>联</w:t>
      </w:r>
      <w:r>
        <w:rPr>
          <w:rFonts w:hint="eastAsia" w:ascii="宋体" w:hAnsi="宋体" w:cs="宋体"/>
          <w:color w:val="auto"/>
          <w:sz w:val="24"/>
          <w:highlight w:val="none"/>
        </w:rPr>
        <w:t>系人及电话：</w:t>
      </w:r>
      <w:bookmarkStart w:id="25" w:name="_GoBack"/>
      <w:r>
        <w:rPr>
          <w:rFonts w:hint="eastAsia" w:ascii="宋体" w:hAnsi="宋体" w:cs="宋体"/>
          <w:color w:val="auto"/>
          <w:sz w:val="24"/>
          <w:highlight w:val="none"/>
          <w:lang w:val="en-US" w:eastAsia="zh-CN"/>
        </w:rPr>
        <w:t>柯先生、0594-3390775</w:t>
      </w:r>
      <w:bookmarkEnd w:id="25"/>
    </w:p>
    <w:p w14:paraId="3F95F7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14:paraId="7CB22E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14:paraId="0B983F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14:paraId="72559A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14:paraId="4783B11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项目负责人：</w:t>
      </w:r>
      <w:r>
        <w:rPr>
          <w:rFonts w:hint="eastAsia" w:ascii="宋体" w:hAnsi="宋体"/>
          <w:color w:val="auto"/>
          <w:sz w:val="24"/>
          <w:highlight w:val="none"/>
        </w:rPr>
        <w:t>欧文浩、田雪丽、</w:t>
      </w:r>
      <w:r>
        <w:rPr>
          <w:rFonts w:hint="eastAsia" w:ascii="宋体" w:hAnsi="宋体"/>
          <w:color w:val="auto"/>
          <w:sz w:val="24"/>
          <w:highlight w:val="none"/>
          <w:lang w:eastAsia="zh-CN"/>
        </w:rPr>
        <w:t>欧丽芳</w:t>
      </w:r>
    </w:p>
    <w:p w14:paraId="0BC954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14:paraId="32204A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14:paraId="43C2BA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14:paraId="16B06A55">
      <w:pPr>
        <w:pStyle w:val="3"/>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中国政府采购网，网址：www.ccgp.gov.cn；</w:t>
      </w:r>
    </w:p>
    <w:p w14:paraId="2B5FA5A8">
      <w:pPr>
        <w:spacing w:line="360" w:lineRule="auto"/>
        <w:ind w:left="480"/>
        <w:rPr>
          <w:rFonts w:ascii="宋体" w:hAnsi="宋体"/>
          <w:color w:val="auto"/>
          <w:sz w:val="24"/>
          <w:highlight w:val="none"/>
        </w:rPr>
      </w:pPr>
      <w:r>
        <w:rPr>
          <w:rFonts w:hint="eastAsia" w:ascii="宋体" w:hAnsi="宋体"/>
          <w:color w:val="auto"/>
          <w:sz w:val="24"/>
          <w:highlight w:val="none"/>
        </w:rPr>
        <w:t>福建省健坤招标有限公司（http://www.jiankunzx.com/）</w:t>
      </w:r>
    </w:p>
    <w:p w14:paraId="52E390DF">
      <w:pPr>
        <w:spacing w:line="360" w:lineRule="auto"/>
        <w:rPr>
          <w:color w:val="auto"/>
          <w:highlight w:val="none"/>
        </w:rPr>
      </w:pPr>
    </w:p>
    <w:p w14:paraId="4B570704">
      <w:pPr>
        <w:spacing w:line="360" w:lineRule="auto"/>
        <w:rPr>
          <w:color w:val="auto"/>
          <w:highlight w:val="none"/>
        </w:rPr>
      </w:pPr>
      <w:r>
        <w:rPr>
          <w:color w:val="auto"/>
          <w:highlight w:val="none"/>
        </w:rPr>
        <w:br w:type="page"/>
      </w:r>
    </w:p>
    <w:p w14:paraId="3C2AADEE">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14:paraId="3EE5FD05">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411513B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805B13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14:paraId="6B7CBDFA">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0"/>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p>
    <w:p w14:paraId="1B2F684C">
      <w:pPr>
        <w:pStyle w:val="20"/>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7FE30F28">
      <w:pPr>
        <w:pStyle w:val="20"/>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14:paraId="70480038">
      <w:pPr>
        <w:spacing w:line="360" w:lineRule="auto"/>
        <w:ind w:firstLine="482" w:firstLineChars="200"/>
        <w:rPr>
          <w:rStyle w:val="30"/>
          <w:rFonts w:ascii="宋体" w:hAnsi="宋体"/>
          <w:b/>
          <w:bCs/>
          <w:color w:val="auto"/>
          <w:kern w:val="0"/>
          <w:sz w:val="24"/>
          <w:highlight w:val="none"/>
        </w:rPr>
      </w:pPr>
      <w:r>
        <w:rPr>
          <w:rStyle w:val="30"/>
          <w:rFonts w:hint="eastAsia" w:ascii="宋体" w:hAnsi="宋体"/>
          <w:b/>
          <w:bCs/>
          <w:color w:val="auto"/>
          <w:kern w:val="0"/>
          <w:sz w:val="24"/>
          <w:highlight w:val="none"/>
        </w:rPr>
        <w:t>二、报名须知</w:t>
      </w:r>
    </w:p>
    <w:p w14:paraId="391D1C4E">
      <w:pPr>
        <w:widowControl/>
        <w:spacing w:line="360" w:lineRule="auto"/>
        <w:ind w:firstLine="480" w:firstLineChars="200"/>
        <w:jc w:val="left"/>
        <w:rPr>
          <w:rStyle w:val="30"/>
          <w:rFonts w:ascii="宋体" w:hAnsi="宋体" w:cs="宋体"/>
          <w:color w:val="auto"/>
          <w:kern w:val="0"/>
          <w:sz w:val="24"/>
          <w:highlight w:val="none"/>
        </w:rPr>
      </w:pPr>
      <w:r>
        <w:rPr>
          <w:rStyle w:val="30"/>
          <w:rFonts w:hint="eastAsia" w:ascii="宋体" w:hAnsi="宋体" w:cs="宋体"/>
          <w:color w:val="auto"/>
          <w:kern w:val="0"/>
          <w:sz w:val="24"/>
          <w:highlight w:val="none"/>
        </w:rPr>
        <w:t>1.供应商应在网上竞价平台（网址：</w:t>
      </w:r>
      <w:r>
        <w:rPr>
          <w:rStyle w:val="30"/>
          <w:rFonts w:hint="eastAsia" w:ascii="宋体" w:hAnsi="宋体" w:cs="宋体"/>
          <w:color w:val="auto"/>
          <w:kern w:val="0"/>
          <w:sz w:val="24"/>
          <w:highlight w:val="none"/>
          <w:u w:val="single"/>
        </w:rPr>
        <w:t>http://47.104.142.206:8083</w:t>
      </w:r>
      <w:r>
        <w:rPr>
          <w:rStyle w:val="30"/>
          <w:rFonts w:hint="eastAsia" w:ascii="宋体" w:hAnsi="宋体" w:cs="宋体"/>
          <w:color w:val="auto"/>
          <w:kern w:val="0"/>
          <w:sz w:val="24"/>
          <w:highlight w:val="none"/>
        </w:rPr>
        <w:t>）上进行注册、报名（上传响应文件）、网上竞价等相关操作，具体操作指南详见网上竞</w:t>
      </w:r>
      <w:bookmarkStart w:id="3" w:name="OLE_LINK11"/>
      <w:r>
        <w:rPr>
          <w:rStyle w:val="30"/>
          <w:rFonts w:hint="eastAsia" w:ascii="宋体" w:hAnsi="宋体" w:cs="宋体"/>
          <w:color w:val="auto"/>
          <w:kern w:val="0"/>
          <w:sz w:val="24"/>
          <w:highlight w:val="none"/>
        </w:rPr>
        <w:t>价平台（网址：</w:t>
      </w:r>
      <w:r>
        <w:rPr>
          <w:rStyle w:val="30"/>
          <w:rFonts w:hint="eastAsia" w:ascii="宋体" w:hAnsi="宋体" w:cs="宋体"/>
          <w:color w:val="auto"/>
          <w:kern w:val="0"/>
          <w:sz w:val="24"/>
          <w:highlight w:val="none"/>
          <w:u w:val="single"/>
        </w:rPr>
        <w:t>https://www.jiankunzx.com/yewuliucheng/1608.html</w:t>
      </w:r>
      <w:r>
        <w:rPr>
          <w:rStyle w:val="30"/>
          <w:rFonts w:hint="eastAsia" w:ascii="宋体" w:hAnsi="宋体" w:cs="宋体"/>
          <w:color w:val="auto"/>
          <w:kern w:val="0"/>
          <w:sz w:val="24"/>
          <w:highlight w:val="none"/>
        </w:rPr>
        <w:t>）</w:t>
      </w:r>
      <w:r>
        <w:rPr>
          <w:rStyle w:val="30"/>
          <w:rFonts w:hint="eastAsia" w:ascii="宋体" w:hAnsi="宋体" w:cs="宋体"/>
          <w:b/>
          <w:bCs/>
          <w:color w:val="auto"/>
          <w:kern w:val="0"/>
          <w:sz w:val="24"/>
          <w:highlight w:val="none"/>
        </w:rPr>
        <w:t>。</w:t>
      </w:r>
      <w:r>
        <w:rPr>
          <w:rStyle w:val="30"/>
          <w:rFonts w:hint="eastAsia" w:ascii="宋体" w:hAnsi="宋体" w:cs="宋体"/>
          <w:color w:val="auto"/>
          <w:kern w:val="0"/>
          <w:sz w:val="24"/>
          <w:highlight w:val="none"/>
        </w:rPr>
        <w:t>若实际网上竞价平台操作与操作指南描述不一致的，按实际网上竞价平台系统要求的进行操作，若因供应商操</w:t>
      </w:r>
      <w:bookmarkEnd w:id="3"/>
      <w:r>
        <w:rPr>
          <w:rStyle w:val="30"/>
          <w:rFonts w:hint="eastAsia" w:ascii="宋体" w:hAnsi="宋体" w:cs="宋体"/>
          <w:color w:val="auto"/>
          <w:kern w:val="0"/>
          <w:sz w:val="24"/>
          <w:highlight w:val="none"/>
        </w:rPr>
        <w:t>作不当导致审核不合格或报价无效的，由其自行承担相应后果。</w:t>
      </w:r>
    </w:p>
    <w:p w14:paraId="35C8AA4D">
      <w:pPr>
        <w:widowControl/>
        <w:spacing w:line="360" w:lineRule="auto"/>
        <w:ind w:firstLine="480" w:firstLineChars="200"/>
        <w:jc w:val="left"/>
        <w:rPr>
          <w:rStyle w:val="30"/>
          <w:rFonts w:hint="eastAsia" w:ascii="宋体" w:hAnsi="宋体" w:cs="宋体"/>
          <w:color w:val="auto"/>
          <w:kern w:val="0"/>
          <w:sz w:val="24"/>
          <w:highlight w:val="none"/>
        </w:rPr>
      </w:pPr>
      <w:r>
        <w:rPr>
          <w:rStyle w:val="30"/>
          <w:rFonts w:hint="eastAsia" w:ascii="宋体" w:hAnsi="宋体" w:cs="宋体"/>
          <w:color w:val="auto"/>
          <w:kern w:val="0"/>
          <w:sz w:val="24"/>
          <w:highlight w:val="none"/>
        </w:rPr>
        <w:t>2.供应商须按本文件第五章“第一部分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供应商可在网上竞价开始时间前通过平台查询其是否通过审核，如未通过审核，可获悉未通过的具体原因。</w:t>
      </w:r>
    </w:p>
    <w:p w14:paraId="481A5AC9">
      <w:pPr>
        <w:pStyle w:val="16"/>
        <w:spacing w:before="75" w:beforeAutospacing="0" w:after="75" w:afterAutospacing="0" w:line="360" w:lineRule="auto"/>
        <w:ind w:firstLine="480"/>
        <w:rPr>
          <w:rStyle w:val="30"/>
          <w:rFonts w:ascii="Times New Roman" w:hAnsi="Times New Roman" w:cs="Times New Roman"/>
          <w:b/>
          <w:bCs/>
          <w:color w:val="auto"/>
          <w:sz w:val="24"/>
          <w:highlight w:val="none"/>
        </w:rPr>
      </w:pPr>
      <w:r>
        <w:rPr>
          <w:rFonts w:hint="eastAsia"/>
          <w:color w:val="auto"/>
          <w:highlight w:val="none"/>
        </w:rPr>
        <w:t>3.</w:t>
      </w:r>
      <w:r>
        <w:rPr>
          <w:rStyle w:val="30"/>
          <w:rFonts w:hint="eastAsia"/>
          <w:color w:val="auto"/>
          <w:sz w:val="24"/>
          <w:highlight w:val="none"/>
        </w:rPr>
        <w:t>供应商提交的响应文件符合网上竞价文件要求的（即不存在网上竞价文件中规定的无效响应情形的）方可在网上竞价时间内参与竞价</w:t>
      </w:r>
      <w:r>
        <w:rPr>
          <w:rStyle w:val="30"/>
          <w:color w:val="auto"/>
          <w:sz w:val="24"/>
          <w:highlight w:val="none"/>
        </w:rPr>
        <w:t>。</w:t>
      </w:r>
      <w:r>
        <w:rPr>
          <w:rStyle w:val="30"/>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0"/>
          <w:rFonts w:ascii="Times New Roman" w:hAnsi="Times New Roman" w:cs="Times New Roman"/>
          <w:color w:val="auto"/>
          <w:highlight w:val="none"/>
        </w:rPr>
        <w:t>力</w:t>
      </w:r>
      <w:r>
        <w:rPr>
          <w:rStyle w:val="30"/>
          <w:rFonts w:hint="eastAsia" w:ascii="Times New Roman" w:hAnsi="Times New Roman" w:cs="Times New Roman"/>
          <w:color w:val="auto"/>
          <w:sz w:val="24"/>
          <w:highlight w:val="none"/>
        </w:rPr>
        <w:t>。</w:t>
      </w:r>
      <w:r>
        <w:rPr>
          <w:rStyle w:val="30"/>
          <w:rFonts w:hint="eastAsia" w:ascii="Times New Roman" w:hAnsi="Times New Roman" w:cs="Times New Roman"/>
          <w:b/>
          <w:bCs/>
          <w:color w:val="auto"/>
          <w:sz w:val="24"/>
          <w:highlight w:val="none"/>
        </w:rPr>
        <w:t>若合格供应商数量不足三家的（除“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Style w:val="30"/>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0FC6ABD4">
      <w:pPr>
        <w:pStyle w:val="16"/>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4"/>
          <w:rFonts w:hint="eastAsia"/>
          <w:color w:val="auto"/>
          <w:highlight w:val="none"/>
        </w:rPr>
        <w:t>报名审核不合格，视为无效响应：</w:t>
      </w:r>
    </w:p>
    <w:p w14:paraId="3AF9E968">
      <w:pPr>
        <w:pStyle w:val="2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002A3C98">
      <w:pPr>
        <w:pStyle w:val="2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8695C51">
      <w:pPr>
        <w:pStyle w:val="2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39C75A7B">
      <w:pPr>
        <w:spacing w:line="360" w:lineRule="auto"/>
        <w:ind w:firstLine="482" w:firstLineChars="200"/>
        <w:rPr>
          <w:rFonts w:ascii="宋体" w:hAnsi="宋体" w:cs="宋体"/>
          <w:b/>
          <w:bCs/>
          <w:color w:val="auto"/>
          <w:kern w:val="0"/>
          <w:sz w:val="24"/>
          <w:highlight w:val="none"/>
        </w:rPr>
      </w:pPr>
      <w:r>
        <w:rPr>
          <w:rStyle w:val="30"/>
          <w:rFonts w:hint="eastAsia" w:ascii="宋体" w:hAnsi="宋体"/>
          <w:b/>
          <w:bCs/>
          <w:color w:val="auto"/>
          <w:kern w:val="0"/>
          <w:sz w:val="24"/>
          <w:highlight w:val="none"/>
        </w:rPr>
        <w:t>三、网上</w:t>
      </w:r>
      <w:r>
        <w:rPr>
          <w:rStyle w:val="30"/>
          <w:rFonts w:ascii="宋体" w:hAnsi="宋体"/>
          <w:b/>
          <w:bCs/>
          <w:color w:val="auto"/>
          <w:kern w:val="0"/>
          <w:sz w:val="24"/>
          <w:highlight w:val="none"/>
        </w:rPr>
        <w:t>竞价规则</w:t>
      </w:r>
    </w:p>
    <w:p w14:paraId="6D002F6A">
      <w:pPr>
        <w:pStyle w:val="16"/>
        <w:spacing w:before="75" w:beforeAutospacing="0" w:after="75" w:afterAutospacing="0" w:line="360" w:lineRule="auto"/>
        <w:ind w:firstLine="480"/>
        <w:rPr>
          <w:rStyle w:val="30"/>
          <w:color w:val="auto"/>
          <w:kern w:val="0"/>
          <w:sz w:val="24"/>
          <w:highlight w:val="none"/>
        </w:rPr>
      </w:pPr>
      <w:r>
        <w:rPr>
          <w:rFonts w:hint="eastAsia"/>
          <w:color w:val="auto"/>
          <w:highlight w:val="none"/>
        </w:rPr>
        <w:t>1.</w:t>
      </w:r>
      <w:r>
        <w:rPr>
          <w:rStyle w:val="30"/>
          <w:color w:val="auto"/>
          <w:kern w:val="0"/>
          <w:sz w:val="24"/>
          <w:highlight w:val="none"/>
        </w:rPr>
        <w:t>网上竞价的报价时限为</w:t>
      </w:r>
      <w:r>
        <w:rPr>
          <w:rStyle w:val="30"/>
          <w:rFonts w:hint="eastAsia"/>
          <w:color w:val="auto"/>
          <w:kern w:val="0"/>
          <w:sz w:val="24"/>
          <w:highlight w:val="none"/>
        </w:rPr>
        <w:t>网上竞价开始时间起至网上竞价截止时间止，在此期间内</w:t>
      </w:r>
      <w:r>
        <w:rPr>
          <w:rStyle w:val="30"/>
          <w:color w:val="auto"/>
          <w:kern w:val="0"/>
          <w:sz w:val="24"/>
          <w:highlight w:val="none"/>
        </w:rPr>
        <w:t>，报名审核</w:t>
      </w:r>
      <w:r>
        <w:rPr>
          <w:rStyle w:val="30"/>
          <w:rFonts w:hint="eastAsia"/>
          <w:color w:val="auto"/>
          <w:kern w:val="0"/>
          <w:sz w:val="24"/>
          <w:highlight w:val="none"/>
        </w:rPr>
        <w:t>通过</w:t>
      </w:r>
      <w:r>
        <w:rPr>
          <w:rStyle w:val="30"/>
          <w:color w:val="auto"/>
          <w:kern w:val="0"/>
          <w:sz w:val="24"/>
          <w:highlight w:val="none"/>
        </w:rPr>
        <w:t>的</w:t>
      </w:r>
      <w:r>
        <w:rPr>
          <w:rStyle w:val="30"/>
          <w:rFonts w:hint="eastAsia"/>
          <w:color w:val="auto"/>
          <w:kern w:val="0"/>
          <w:sz w:val="24"/>
          <w:highlight w:val="none"/>
        </w:rPr>
        <w:t>供应商</w:t>
      </w:r>
      <w:r>
        <w:rPr>
          <w:rStyle w:val="30"/>
          <w:color w:val="auto"/>
          <w:kern w:val="0"/>
          <w:sz w:val="24"/>
          <w:highlight w:val="none"/>
        </w:rPr>
        <w:t>可通过</w:t>
      </w:r>
      <w:r>
        <w:rPr>
          <w:rStyle w:val="30"/>
          <w:rFonts w:hint="eastAsia"/>
          <w:color w:val="auto"/>
          <w:kern w:val="0"/>
          <w:sz w:val="24"/>
          <w:highlight w:val="none"/>
        </w:rPr>
        <w:t>网上竞价平台</w:t>
      </w:r>
      <w:r>
        <w:rPr>
          <w:rStyle w:val="30"/>
          <w:color w:val="auto"/>
          <w:kern w:val="0"/>
          <w:sz w:val="24"/>
          <w:highlight w:val="none"/>
        </w:rPr>
        <w:t>参与</w:t>
      </w:r>
      <w:r>
        <w:rPr>
          <w:rStyle w:val="30"/>
          <w:rFonts w:hint="eastAsia"/>
          <w:color w:val="auto"/>
          <w:kern w:val="0"/>
          <w:sz w:val="24"/>
          <w:highlight w:val="none"/>
        </w:rPr>
        <w:t>网上</w:t>
      </w:r>
      <w:r>
        <w:rPr>
          <w:rStyle w:val="30"/>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0"/>
          <w:rFonts w:hint="eastAsia" w:ascii="Times New Roman" w:hAnsi="Times New Roman" w:cs="Times New Roman"/>
          <w:b/>
          <w:bCs/>
          <w:color w:val="auto"/>
          <w:sz w:val="24"/>
          <w:highlight w:val="none"/>
        </w:rPr>
        <w:t>（除“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16B6ABB9">
      <w:pPr>
        <w:widowControl/>
        <w:spacing w:line="360" w:lineRule="auto"/>
        <w:ind w:firstLine="480" w:firstLineChars="200"/>
        <w:jc w:val="left"/>
        <w:textAlignment w:val="baseline"/>
        <w:rPr>
          <w:rStyle w:val="30"/>
          <w:rFonts w:ascii="宋体" w:hAnsi="宋体"/>
          <w:color w:val="auto"/>
          <w:kern w:val="0"/>
          <w:sz w:val="24"/>
          <w:highlight w:val="none"/>
        </w:rPr>
      </w:pPr>
      <w:r>
        <w:rPr>
          <w:rStyle w:val="30"/>
          <w:rFonts w:hint="eastAsia" w:ascii="宋体" w:hAnsi="宋体"/>
          <w:color w:val="auto"/>
          <w:kern w:val="0"/>
          <w:sz w:val="24"/>
          <w:highlight w:val="none"/>
        </w:rPr>
        <w:t>2.供应商</w:t>
      </w:r>
      <w:r>
        <w:rPr>
          <w:rStyle w:val="30"/>
          <w:rFonts w:ascii="宋体" w:hAnsi="宋体"/>
          <w:color w:val="auto"/>
          <w:kern w:val="0"/>
          <w:sz w:val="24"/>
          <w:highlight w:val="none"/>
        </w:rPr>
        <w:t>首次提交的报价</w:t>
      </w:r>
      <w:r>
        <w:rPr>
          <w:rStyle w:val="30"/>
          <w:rFonts w:hint="eastAsia" w:ascii="宋体" w:hAnsi="宋体"/>
          <w:color w:val="auto"/>
          <w:kern w:val="0"/>
          <w:sz w:val="24"/>
          <w:highlight w:val="none"/>
        </w:rPr>
        <w:t>总价</w:t>
      </w:r>
      <w:r>
        <w:rPr>
          <w:rStyle w:val="30"/>
          <w:rFonts w:ascii="宋体" w:hAnsi="宋体"/>
          <w:color w:val="auto"/>
          <w:kern w:val="0"/>
          <w:sz w:val="24"/>
          <w:highlight w:val="none"/>
        </w:rPr>
        <w:t>须</w:t>
      </w:r>
      <w:r>
        <w:rPr>
          <w:rStyle w:val="30"/>
          <w:rFonts w:hint="eastAsia" w:ascii="宋体" w:hAnsi="宋体"/>
          <w:color w:val="auto"/>
          <w:kern w:val="0"/>
          <w:sz w:val="24"/>
          <w:highlight w:val="none"/>
        </w:rPr>
        <w:t>低于</w:t>
      </w:r>
      <w:r>
        <w:rPr>
          <w:rStyle w:val="30"/>
          <w:rFonts w:ascii="宋体" w:hAnsi="宋体"/>
          <w:color w:val="auto"/>
          <w:kern w:val="0"/>
          <w:sz w:val="24"/>
          <w:highlight w:val="none"/>
        </w:rPr>
        <w:t>本项目</w:t>
      </w:r>
      <w:r>
        <w:rPr>
          <w:rStyle w:val="30"/>
          <w:rFonts w:hint="eastAsia" w:ascii="宋体" w:hAnsi="宋体"/>
          <w:color w:val="auto"/>
          <w:kern w:val="0"/>
          <w:sz w:val="24"/>
          <w:highlight w:val="none"/>
        </w:rPr>
        <w:t>总价</w:t>
      </w:r>
      <w:r>
        <w:rPr>
          <w:rStyle w:val="30"/>
          <w:rFonts w:ascii="宋体" w:hAnsi="宋体"/>
          <w:color w:val="auto"/>
          <w:kern w:val="0"/>
          <w:sz w:val="24"/>
          <w:highlight w:val="none"/>
        </w:rPr>
        <w:t>最高限价</w:t>
      </w:r>
      <w:r>
        <w:rPr>
          <w:rStyle w:val="30"/>
          <w:rFonts w:hint="eastAsia" w:ascii="宋体" w:hAnsi="宋体"/>
          <w:color w:val="auto"/>
          <w:kern w:val="0"/>
          <w:sz w:val="24"/>
          <w:highlight w:val="none"/>
        </w:rPr>
        <w:t>的</w:t>
      </w:r>
      <w:r>
        <w:rPr>
          <w:rStyle w:val="30"/>
          <w:rFonts w:ascii="宋体" w:hAnsi="宋体"/>
          <w:color w:val="auto"/>
          <w:kern w:val="0"/>
          <w:sz w:val="24"/>
          <w:highlight w:val="none"/>
        </w:rPr>
        <w:t>3%</w:t>
      </w:r>
      <w:r>
        <w:rPr>
          <w:rStyle w:val="30"/>
          <w:rFonts w:hint="eastAsia" w:ascii="宋体" w:hAnsi="宋体"/>
          <w:color w:val="auto"/>
          <w:kern w:val="0"/>
          <w:sz w:val="24"/>
          <w:highlight w:val="none"/>
        </w:rPr>
        <w:t>以上（不含</w:t>
      </w:r>
      <w:r>
        <w:rPr>
          <w:rStyle w:val="30"/>
          <w:rFonts w:ascii="宋体" w:hAnsi="宋体"/>
          <w:color w:val="auto"/>
          <w:kern w:val="0"/>
          <w:sz w:val="24"/>
          <w:highlight w:val="none"/>
        </w:rPr>
        <w:t>3%</w:t>
      </w:r>
      <w:r>
        <w:rPr>
          <w:rStyle w:val="30"/>
          <w:rFonts w:hint="eastAsia" w:ascii="宋体" w:hAnsi="宋体"/>
          <w:color w:val="auto"/>
          <w:kern w:val="0"/>
          <w:sz w:val="24"/>
          <w:highlight w:val="none"/>
        </w:rPr>
        <w:t>）</w:t>
      </w:r>
      <w:r>
        <w:rPr>
          <w:rStyle w:val="30"/>
          <w:rFonts w:ascii="宋体" w:hAnsi="宋体"/>
          <w:color w:val="auto"/>
          <w:kern w:val="0"/>
          <w:sz w:val="24"/>
          <w:highlight w:val="none"/>
        </w:rPr>
        <w:t>，否则</w:t>
      </w:r>
      <w:r>
        <w:rPr>
          <w:rStyle w:val="30"/>
          <w:rFonts w:ascii="宋体" w:hAnsi="宋体" w:cs="宋体"/>
          <w:color w:val="auto"/>
          <w:kern w:val="0"/>
          <w:sz w:val="24"/>
          <w:highlight w:val="none"/>
        </w:rPr>
        <w:t>视为无效报价</w:t>
      </w:r>
      <w:r>
        <w:rPr>
          <w:rStyle w:val="30"/>
          <w:rFonts w:ascii="宋体" w:hAnsi="宋体"/>
          <w:color w:val="auto"/>
          <w:kern w:val="0"/>
          <w:sz w:val="24"/>
          <w:highlight w:val="none"/>
        </w:rPr>
        <w:t>。在</w:t>
      </w:r>
      <w:r>
        <w:rPr>
          <w:rStyle w:val="30"/>
          <w:rFonts w:hint="eastAsia" w:ascii="宋体" w:hAnsi="宋体"/>
          <w:color w:val="auto"/>
          <w:kern w:val="0"/>
          <w:sz w:val="24"/>
          <w:highlight w:val="none"/>
        </w:rPr>
        <w:t>网上竞价时间</w:t>
      </w:r>
      <w:r>
        <w:rPr>
          <w:rStyle w:val="30"/>
          <w:rFonts w:ascii="宋体" w:hAnsi="宋体"/>
          <w:color w:val="auto"/>
          <w:kern w:val="0"/>
          <w:sz w:val="24"/>
          <w:highlight w:val="none"/>
        </w:rPr>
        <w:t>内</w:t>
      </w:r>
      <w:r>
        <w:rPr>
          <w:rStyle w:val="30"/>
          <w:rFonts w:hint="eastAsia" w:ascii="宋体" w:hAnsi="宋体"/>
          <w:color w:val="auto"/>
          <w:kern w:val="0"/>
          <w:sz w:val="24"/>
          <w:highlight w:val="none"/>
        </w:rPr>
        <w:t>、同一供应商有</w:t>
      </w:r>
      <w:r>
        <w:rPr>
          <w:rStyle w:val="30"/>
          <w:rFonts w:ascii="宋体" w:hAnsi="宋体"/>
          <w:color w:val="auto"/>
          <w:kern w:val="0"/>
          <w:sz w:val="24"/>
          <w:highlight w:val="none"/>
        </w:rPr>
        <w:t>多次报价的</w:t>
      </w:r>
      <w:r>
        <w:rPr>
          <w:rStyle w:val="30"/>
          <w:rFonts w:hint="eastAsia" w:ascii="宋体" w:hAnsi="宋体"/>
          <w:color w:val="auto"/>
          <w:kern w:val="0"/>
          <w:sz w:val="24"/>
          <w:highlight w:val="none"/>
        </w:rPr>
        <w:t>情况下</w:t>
      </w:r>
      <w:r>
        <w:rPr>
          <w:rStyle w:val="30"/>
          <w:rFonts w:ascii="宋体" w:hAnsi="宋体"/>
          <w:color w:val="auto"/>
          <w:kern w:val="0"/>
          <w:sz w:val="24"/>
          <w:highlight w:val="none"/>
        </w:rPr>
        <w:t>，</w:t>
      </w:r>
      <w:r>
        <w:rPr>
          <w:rStyle w:val="30"/>
          <w:rFonts w:hint="eastAsia" w:ascii="宋体" w:hAnsi="宋体"/>
          <w:color w:val="auto"/>
          <w:kern w:val="0"/>
          <w:sz w:val="24"/>
          <w:highlight w:val="none"/>
        </w:rPr>
        <w:t>则该供应商的每一次</w:t>
      </w:r>
      <w:r>
        <w:rPr>
          <w:rStyle w:val="30"/>
          <w:rFonts w:ascii="宋体" w:hAnsi="宋体"/>
          <w:color w:val="auto"/>
          <w:kern w:val="0"/>
          <w:sz w:val="24"/>
          <w:highlight w:val="none"/>
        </w:rPr>
        <w:t>报价金额必须小于自己上一次的报价金额，</w:t>
      </w:r>
      <w:r>
        <w:rPr>
          <w:rStyle w:val="30"/>
          <w:rFonts w:hint="eastAsia" w:ascii="宋体" w:hAnsi="宋体"/>
          <w:color w:val="auto"/>
          <w:kern w:val="0"/>
          <w:sz w:val="24"/>
          <w:highlight w:val="none"/>
        </w:rPr>
        <w:t>同时以该供应商</w:t>
      </w:r>
      <w:r>
        <w:rPr>
          <w:rStyle w:val="30"/>
          <w:rFonts w:ascii="宋体" w:hAnsi="宋体"/>
          <w:color w:val="auto"/>
          <w:kern w:val="0"/>
          <w:sz w:val="24"/>
          <w:highlight w:val="none"/>
        </w:rPr>
        <w:t>提交的最后一次报价作为</w:t>
      </w:r>
      <w:r>
        <w:rPr>
          <w:rStyle w:val="30"/>
          <w:rFonts w:hint="eastAsia" w:ascii="宋体" w:hAnsi="宋体"/>
          <w:color w:val="auto"/>
          <w:kern w:val="0"/>
          <w:sz w:val="24"/>
          <w:highlight w:val="none"/>
        </w:rPr>
        <w:t>其最终有效报价</w:t>
      </w:r>
      <w:r>
        <w:rPr>
          <w:rStyle w:val="30"/>
          <w:rFonts w:ascii="宋体" w:hAnsi="宋体"/>
          <w:color w:val="auto"/>
          <w:kern w:val="0"/>
          <w:sz w:val="24"/>
          <w:highlight w:val="none"/>
        </w:rPr>
        <w:t>。</w:t>
      </w:r>
    </w:p>
    <w:p w14:paraId="1884A7FE">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7CD406E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1BF06D3C">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3D3E2FFC">
      <w:pPr>
        <w:widowControl/>
        <w:spacing w:line="360" w:lineRule="auto"/>
        <w:ind w:firstLine="480" w:firstLineChars="200"/>
        <w:jc w:val="left"/>
        <w:textAlignment w:val="baseline"/>
        <w:rPr>
          <w:rStyle w:val="30"/>
          <w:rFonts w:ascii="宋体" w:hAnsi="宋体"/>
          <w:color w:val="auto"/>
          <w:kern w:val="0"/>
          <w:sz w:val="24"/>
          <w:highlight w:val="none"/>
        </w:rPr>
      </w:pPr>
      <w:r>
        <w:rPr>
          <w:rFonts w:hint="eastAsia" w:ascii="宋体" w:hAnsi="宋体" w:cs="宋体"/>
          <w:color w:val="auto"/>
          <w:sz w:val="24"/>
          <w:highlight w:val="none"/>
        </w:rPr>
        <w:t>1.</w:t>
      </w:r>
      <w:r>
        <w:rPr>
          <w:rStyle w:val="30"/>
          <w:rFonts w:hint="eastAsia" w:ascii="宋体" w:hAnsi="宋体"/>
          <w:color w:val="auto"/>
          <w:kern w:val="0"/>
          <w:sz w:val="24"/>
          <w:highlight w:val="none"/>
        </w:rPr>
        <w:t>供应商</w:t>
      </w:r>
      <w:r>
        <w:rPr>
          <w:rStyle w:val="30"/>
          <w:rFonts w:ascii="宋体" w:hAnsi="宋体"/>
          <w:color w:val="auto"/>
          <w:kern w:val="0"/>
          <w:sz w:val="24"/>
          <w:highlight w:val="none"/>
        </w:rPr>
        <w:t>在</w:t>
      </w:r>
      <w:r>
        <w:rPr>
          <w:rStyle w:val="30"/>
          <w:rFonts w:hint="eastAsia" w:ascii="宋体" w:hAnsi="宋体"/>
          <w:color w:val="auto"/>
          <w:kern w:val="0"/>
          <w:sz w:val="24"/>
          <w:highlight w:val="none"/>
        </w:rPr>
        <w:t>完全满足网上竞价文件要求</w:t>
      </w:r>
      <w:r>
        <w:rPr>
          <w:rStyle w:val="30"/>
          <w:rFonts w:ascii="宋体" w:hAnsi="宋体"/>
          <w:color w:val="auto"/>
          <w:kern w:val="0"/>
          <w:sz w:val="24"/>
          <w:highlight w:val="none"/>
        </w:rPr>
        <w:t>且报价有效的前提下，</w:t>
      </w:r>
      <w:r>
        <w:rPr>
          <w:rStyle w:val="30"/>
          <w:rFonts w:hint="eastAsia" w:ascii="宋体" w:hAnsi="宋体"/>
          <w:color w:val="auto"/>
          <w:kern w:val="0"/>
          <w:sz w:val="24"/>
          <w:highlight w:val="none"/>
        </w:rPr>
        <w:t>最终有效报价</w:t>
      </w:r>
      <w:r>
        <w:rPr>
          <w:rStyle w:val="30"/>
          <w:rFonts w:ascii="宋体" w:hAnsi="宋体"/>
          <w:color w:val="auto"/>
          <w:kern w:val="0"/>
          <w:sz w:val="24"/>
          <w:highlight w:val="none"/>
        </w:rPr>
        <w:t>最低者</w:t>
      </w:r>
      <w:r>
        <w:rPr>
          <w:rStyle w:val="30"/>
          <w:rFonts w:hint="eastAsia" w:ascii="宋体" w:hAnsi="宋体"/>
          <w:color w:val="auto"/>
          <w:kern w:val="0"/>
          <w:sz w:val="24"/>
          <w:highlight w:val="none"/>
        </w:rPr>
        <w:t>为</w:t>
      </w:r>
      <w:r>
        <w:rPr>
          <w:rStyle w:val="30"/>
          <w:rFonts w:ascii="宋体" w:hAnsi="宋体"/>
          <w:color w:val="auto"/>
          <w:kern w:val="0"/>
          <w:sz w:val="24"/>
          <w:highlight w:val="none"/>
        </w:rPr>
        <w:t>成交</w:t>
      </w:r>
      <w:r>
        <w:rPr>
          <w:rStyle w:val="30"/>
          <w:rFonts w:hint="eastAsia" w:ascii="宋体" w:hAnsi="宋体"/>
          <w:color w:val="auto"/>
          <w:kern w:val="0"/>
          <w:sz w:val="24"/>
          <w:highlight w:val="none"/>
        </w:rPr>
        <w:t>候选人</w:t>
      </w:r>
      <w:r>
        <w:rPr>
          <w:rStyle w:val="30"/>
          <w:rFonts w:ascii="宋体" w:hAnsi="宋体"/>
          <w:color w:val="auto"/>
          <w:kern w:val="0"/>
          <w:sz w:val="24"/>
          <w:highlight w:val="none"/>
        </w:rPr>
        <w:t>，若</w:t>
      </w:r>
      <w:r>
        <w:rPr>
          <w:rStyle w:val="30"/>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476C29E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646D483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r>
        <w:rPr>
          <w:rFonts w:hint="eastAsia" w:ascii="宋体" w:hAnsi="宋体"/>
          <w:color w:val="auto"/>
          <w:sz w:val="24"/>
          <w:highlight w:val="none"/>
        </w:rPr>
        <w:t>供应商的报价明显低于其他报价，使得其报价可能低于其个别成本的，采购人有权要求供应商提供合理说明原因或相关证明材料，并组织专家对供应商的报价进行论证，若供应商的报价有可能影响商品（服务）质量或不能诚信履约的，但不能合理说明原因或不能提供相关证明材料的，供应商的报价将按照无效报价处理。</w:t>
      </w:r>
    </w:p>
    <w:p w14:paraId="79AF8F33">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06D6FB0E">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43014F8D">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168C5A51">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4E055EE3">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0"/>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537D3788">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14:paraId="3B6686DE">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6FB75671">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4827D422">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2F041044">
      <w:pPr>
        <w:pStyle w:val="1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0E78D5A5">
      <w:pPr>
        <w:pStyle w:val="1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5.除因不可抗力或网上竞价文件认可的情形以外，成交供应商不与采购人签订合同或不能履约的采购人有权将其列入景弘集团有限公司、福建省监狱管理局及其下属单位自行采购项目黑名单。</w:t>
      </w:r>
    </w:p>
    <w:p w14:paraId="36D09E58">
      <w:pPr>
        <w:pStyle w:val="16"/>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30"/>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53F97928">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06F9E31A">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14:paraId="066D8153">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30"/>
          <w:rFonts w:hint="eastAsia"/>
          <w:color w:val="auto"/>
          <w:kern w:val="0"/>
          <w:sz w:val="24"/>
          <w:highlight w:val="none"/>
        </w:rPr>
        <w:t>供应商</w:t>
      </w:r>
      <w:r>
        <w:rPr>
          <w:rFonts w:hint="eastAsia"/>
          <w:color w:val="auto"/>
          <w:kern w:val="2"/>
          <w:highlight w:val="none"/>
        </w:rPr>
        <w:t>假借以他人名义参加竞价或者弄虚作假，骗取成交；</w:t>
      </w:r>
    </w:p>
    <w:p w14:paraId="62DEE42A">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14:paraId="2E4A586F">
      <w:pPr>
        <w:spacing w:line="360" w:lineRule="auto"/>
        <w:jc w:val="center"/>
        <w:rPr>
          <w:rFonts w:ascii="宋体" w:hAnsi="宋体" w:cs="宋体"/>
          <w:b/>
          <w:color w:val="auto"/>
          <w:kern w:val="0"/>
          <w:sz w:val="32"/>
          <w:szCs w:val="32"/>
          <w:highlight w:val="none"/>
        </w:rPr>
      </w:pPr>
    </w:p>
    <w:p w14:paraId="18BA67AF">
      <w:pPr>
        <w:pStyle w:val="4"/>
        <w:spacing w:line="360" w:lineRule="auto"/>
        <w:rPr>
          <w:color w:val="auto"/>
          <w:highlight w:val="none"/>
        </w:rPr>
      </w:pPr>
    </w:p>
    <w:p w14:paraId="47BF4223">
      <w:pPr>
        <w:spacing w:line="360" w:lineRule="auto"/>
        <w:rPr>
          <w:rFonts w:ascii="宋体" w:hAnsi="宋体" w:cs="宋体"/>
          <w:b/>
          <w:color w:val="auto"/>
          <w:kern w:val="0"/>
          <w:sz w:val="32"/>
          <w:szCs w:val="32"/>
          <w:highlight w:val="none"/>
        </w:rPr>
      </w:pPr>
    </w:p>
    <w:p w14:paraId="14EDDFBE">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3DE2A74">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1"/>
      <w:r>
        <w:rPr>
          <w:rFonts w:hint="eastAsia" w:ascii="宋体" w:hAnsi="宋体" w:cs="宋体"/>
          <w:b/>
          <w:color w:val="auto"/>
          <w:kern w:val="0"/>
          <w:sz w:val="32"/>
          <w:szCs w:val="32"/>
          <w:highlight w:val="none"/>
        </w:rPr>
        <w:t>内容及要求</w:t>
      </w:r>
    </w:p>
    <w:p w14:paraId="7645861C">
      <w:pPr>
        <w:snapToGrid w:val="0"/>
        <w:spacing w:line="360" w:lineRule="auto"/>
        <w:outlineLvl w:val="1"/>
        <w:rPr>
          <w:rFonts w:ascii="宋体" w:hAnsi="宋体" w:cs="宋体"/>
          <w:b/>
          <w:color w:val="auto"/>
          <w:sz w:val="24"/>
          <w:highlight w:val="none"/>
        </w:rPr>
      </w:pPr>
      <w:bookmarkStart w:id="4" w:name="_Toc359317661"/>
      <w:bookmarkStart w:id="5" w:name="_Toc358016816"/>
      <w:bookmarkStart w:id="6" w:name="_Toc330567034"/>
      <w:bookmarkStart w:id="7" w:name="_Toc346300367"/>
      <w:bookmarkStart w:id="8" w:name="_Toc347060296"/>
      <w:bookmarkStart w:id="9" w:name="_Toc327948617"/>
      <w:r>
        <w:rPr>
          <w:rFonts w:hint="eastAsia" w:ascii="宋体" w:hAnsi="宋体" w:cs="宋体"/>
          <w:b/>
          <w:color w:val="auto"/>
          <w:sz w:val="24"/>
          <w:highlight w:val="none"/>
        </w:rPr>
        <w:t>一、项目概述</w:t>
      </w:r>
      <w:bookmarkEnd w:id="4"/>
      <w:bookmarkEnd w:id="5"/>
    </w:p>
    <w:p w14:paraId="205EE5A4">
      <w:pPr>
        <w:pStyle w:val="31"/>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1.采购标的一览表 </w:t>
      </w:r>
    </w:p>
    <w:p w14:paraId="5B99504C">
      <w:pPr>
        <w:spacing w:line="360" w:lineRule="auto"/>
        <w:jc w:val="right"/>
        <w:rPr>
          <w:rFonts w:ascii="宋体" w:hAnsi="宋体"/>
          <w:color w:val="auto"/>
          <w:sz w:val="24"/>
          <w:highlight w:val="none"/>
        </w:rPr>
      </w:pPr>
      <w:r>
        <w:rPr>
          <w:rFonts w:hint="eastAsia" w:ascii="宋体" w:hAnsi="宋体"/>
          <w:color w:val="auto"/>
          <w:sz w:val="24"/>
          <w:highlight w:val="none"/>
        </w:rPr>
        <w:t>金额单位：人民币/元</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461"/>
        <w:gridCol w:w="3073"/>
        <w:gridCol w:w="1430"/>
        <w:gridCol w:w="2612"/>
      </w:tblGrid>
      <w:tr w14:paraId="5D6B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80" w:type="pct"/>
            <w:tcBorders>
              <w:top w:val="single" w:color="auto" w:sz="4" w:space="0"/>
              <w:left w:val="single" w:color="auto" w:sz="4" w:space="0"/>
              <w:bottom w:val="single" w:color="auto" w:sz="4" w:space="0"/>
              <w:right w:val="single" w:color="auto" w:sz="4" w:space="0"/>
            </w:tcBorders>
            <w:vAlign w:val="center"/>
          </w:tcPr>
          <w:p w14:paraId="2768456F">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87" w:type="pct"/>
            <w:tcBorders>
              <w:top w:val="single" w:color="auto" w:sz="4" w:space="0"/>
              <w:left w:val="single" w:color="auto" w:sz="4" w:space="0"/>
              <w:bottom w:val="single" w:color="auto" w:sz="4" w:space="0"/>
              <w:right w:val="single" w:color="auto" w:sz="4" w:space="0"/>
            </w:tcBorders>
            <w:vAlign w:val="center"/>
          </w:tcPr>
          <w:p w14:paraId="77F6EC77">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1654" w:type="pct"/>
            <w:tcBorders>
              <w:top w:val="single" w:color="auto" w:sz="4" w:space="0"/>
              <w:left w:val="single" w:color="auto" w:sz="4" w:space="0"/>
              <w:bottom w:val="single" w:color="auto" w:sz="4" w:space="0"/>
              <w:right w:val="single" w:color="auto" w:sz="4" w:space="0"/>
            </w:tcBorders>
            <w:vAlign w:val="center"/>
          </w:tcPr>
          <w:p w14:paraId="009BB0D9">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服务名称</w:t>
            </w:r>
          </w:p>
        </w:tc>
        <w:tc>
          <w:tcPr>
            <w:tcW w:w="770" w:type="pct"/>
            <w:tcBorders>
              <w:top w:val="single" w:color="auto" w:sz="4" w:space="0"/>
              <w:left w:val="single" w:color="auto" w:sz="4" w:space="0"/>
              <w:bottom w:val="single" w:color="auto" w:sz="4" w:space="0"/>
              <w:right w:val="single" w:color="auto" w:sz="4" w:space="0"/>
            </w:tcBorders>
            <w:vAlign w:val="center"/>
          </w:tcPr>
          <w:p w14:paraId="53146325">
            <w:pPr>
              <w:spacing w:line="360" w:lineRule="auto"/>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数量</w:t>
            </w:r>
          </w:p>
        </w:tc>
        <w:tc>
          <w:tcPr>
            <w:tcW w:w="1407" w:type="pct"/>
            <w:tcBorders>
              <w:top w:val="single" w:color="auto" w:sz="4" w:space="0"/>
              <w:left w:val="single" w:color="auto" w:sz="4" w:space="0"/>
              <w:bottom w:val="single" w:color="auto" w:sz="4" w:space="0"/>
              <w:right w:val="single" w:color="auto" w:sz="4" w:space="0"/>
            </w:tcBorders>
            <w:vAlign w:val="center"/>
          </w:tcPr>
          <w:p w14:paraId="23843E75">
            <w:pPr>
              <w:spacing w:line="360" w:lineRule="auto"/>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4144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0" w:type="pct"/>
            <w:tcBorders>
              <w:top w:val="single" w:color="auto" w:sz="4" w:space="0"/>
              <w:left w:val="single" w:color="auto" w:sz="4" w:space="0"/>
              <w:right w:val="single" w:color="auto" w:sz="4" w:space="0"/>
            </w:tcBorders>
            <w:vAlign w:val="center"/>
          </w:tcPr>
          <w:p w14:paraId="48D8027D">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w:t>
            </w:r>
          </w:p>
        </w:tc>
        <w:tc>
          <w:tcPr>
            <w:tcW w:w="787" w:type="pct"/>
            <w:tcBorders>
              <w:top w:val="single" w:color="auto" w:sz="4" w:space="0"/>
              <w:left w:val="single" w:color="auto" w:sz="4" w:space="0"/>
              <w:bottom w:val="single" w:color="auto" w:sz="4" w:space="0"/>
              <w:right w:val="single" w:color="auto" w:sz="4" w:space="0"/>
            </w:tcBorders>
            <w:vAlign w:val="center"/>
          </w:tcPr>
          <w:p w14:paraId="27AE3565">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1-1</w:t>
            </w:r>
          </w:p>
        </w:tc>
        <w:tc>
          <w:tcPr>
            <w:tcW w:w="1654" w:type="pct"/>
            <w:tcBorders>
              <w:top w:val="single" w:color="auto" w:sz="4" w:space="0"/>
              <w:left w:val="single" w:color="auto" w:sz="4" w:space="0"/>
              <w:bottom w:val="single" w:color="auto" w:sz="4" w:space="0"/>
              <w:right w:val="single" w:color="auto" w:sz="4" w:space="0"/>
            </w:tcBorders>
            <w:vAlign w:val="center"/>
          </w:tcPr>
          <w:p w14:paraId="675BF305">
            <w:pPr>
              <w:widowControl/>
              <w:spacing w:line="360" w:lineRule="auto"/>
              <w:jc w:val="center"/>
              <w:textAlignment w:val="center"/>
              <w:rPr>
                <w:rFonts w:ascii="宋体" w:hAnsi="宋体" w:cs="宋体"/>
                <w:color w:val="auto"/>
                <w:kern w:val="0"/>
                <w:sz w:val="24"/>
                <w:highlight w:val="none"/>
              </w:rPr>
            </w:pPr>
            <w:r>
              <w:rPr>
                <w:rFonts w:hint="eastAsia" w:cs="宋体"/>
                <w:b w:val="0"/>
                <w:bCs/>
                <w:color w:val="auto"/>
                <w:sz w:val="24"/>
                <w:highlight w:val="none"/>
                <w:lang w:eastAsia="zh-CN"/>
              </w:rPr>
              <w:t>莆田监狱亲情电话服务（含远程视频功能）</w:t>
            </w:r>
          </w:p>
        </w:tc>
        <w:tc>
          <w:tcPr>
            <w:tcW w:w="770" w:type="pct"/>
            <w:tcBorders>
              <w:top w:val="single" w:color="auto" w:sz="4" w:space="0"/>
              <w:left w:val="single" w:color="auto" w:sz="4" w:space="0"/>
              <w:right w:val="single" w:color="auto" w:sz="4" w:space="0"/>
            </w:tcBorders>
            <w:vAlign w:val="center"/>
          </w:tcPr>
          <w:p w14:paraId="118EB249">
            <w:pPr>
              <w:widowControl/>
              <w:spacing w:line="360" w:lineRule="auto"/>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1年</w:t>
            </w:r>
          </w:p>
        </w:tc>
        <w:tc>
          <w:tcPr>
            <w:tcW w:w="1407" w:type="pct"/>
            <w:tcBorders>
              <w:top w:val="single" w:color="auto" w:sz="4" w:space="0"/>
              <w:left w:val="single" w:color="auto" w:sz="4" w:space="0"/>
              <w:bottom w:val="single" w:color="auto" w:sz="4" w:space="0"/>
              <w:right w:val="single" w:color="auto" w:sz="4" w:space="0"/>
            </w:tcBorders>
            <w:vAlign w:val="center"/>
          </w:tcPr>
          <w:p w14:paraId="53DDAC48">
            <w:pPr>
              <w:widowControl/>
              <w:spacing w:line="360" w:lineRule="auto"/>
              <w:jc w:val="center"/>
              <w:textAlignment w:val="center"/>
              <w:rPr>
                <w:rFonts w:ascii="宋体" w:hAnsi="宋体" w:cs="新宋体"/>
                <w:color w:val="auto"/>
                <w:kern w:val="0"/>
                <w:sz w:val="24"/>
                <w:highlight w:val="none"/>
              </w:rPr>
            </w:pPr>
            <w:r>
              <w:rPr>
                <w:rFonts w:hint="eastAsia" w:ascii="宋体" w:hAnsi="宋体" w:cs="宋体"/>
                <w:color w:val="auto"/>
                <w:kern w:val="0"/>
                <w:sz w:val="24"/>
                <w:highlight w:val="none"/>
                <w:lang w:val="en-US" w:eastAsia="zh-CN"/>
              </w:rPr>
              <w:t>116000</w:t>
            </w:r>
          </w:p>
        </w:tc>
      </w:tr>
      <w:tr w14:paraId="6296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22" w:type="pct"/>
            <w:gridSpan w:val="3"/>
            <w:tcBorders>
              <w:top w:val="single" w:color="auto" w:sz="4" w:space="0"/>
              <w:left w:val="single" w:color="auto" w:sz="4" w:space="0"/>
              <w:bottom w:val="single" w:color="auto" w:sz="4" w:space="0"/>
              <w:right w:val="single" w:color="auto" w:sz="4" w:space="0"/>
            </w:tcBorders>
            <w:vAlign w:val="center"/>
          </w:tcPr>
          <w:p w14:paraId="05AB42C3">
            <w:pPr>
              <w:spacing w:line="360" w:lineRule="auto"/>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eastAsia="zh-CN"/>
              </w:rPr>
              <w:t>壹拾壹万陆仟</w:t>
            </w:r>
            <w:r>
              <w:rPr>
                <w:rFonts w:hint="eastAsia" w:ascii="宋体" w:hAnsi="宋体"/>
                <w:color w:val="auto"/>
                <w:kern w:val="0"/>
                <w:sz w:val="24"/>
                <w:highlight w:val="none"/>
              </w:rPr>
              <w:t xml:space="preserve">元整     </w:t>
            </w:r>
          </w:p>
        </w:tc>
        <w:tc>
          <w:tcPr>
            <w:tcW w:w="2177" w:type="pct"/>
            <w:gridSpan w:val="2"/>
            <w:tcBorders>
              <w:top w:val="single" w:color="auto" w:sz="4" w:space="0"/>
              <w:left w:val="single" w:color="auto" w:sz="4" w:space="0"/>
              <w:bottom w:val="single" w:color="auto" w:sz="4" w:space="0"/>
              <w:right w:val="single" w:color="auto" w:sz="4" w:space="0"/>
            </w:tcBorders>
            <w:vAlign w:val="center"/>
          </w:tcPr>
          <w:p w14:paraId="589FAC98">
            <w:pPr>
              <w:spacing w:line="360" w:lineRule="auto"/>
              <w:rPr>
                <w:rFonts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116000</w:t>
            </w:r>
            <w:r>
              <w:rPr>
                <w:rFonts w:hint="eastAsia" w:ascii="宋体" w:hAnsi="宋体"/>
                <w:color w:val="auto"/>
                <w:kern w:val="0"/>
                <w:sz w:val="24"/>
                <w:highlight w:val="none"/>
              </w:rPr>
              <w:t>.00</w:t>
            </w:r>
            <w:r>
              <w:rPr>
                <w:rFonts w:hint="eastAsia" w:ascii="宋体" w:hAnsi="宋体" w:cs="新宋体"/>
                <w:color w:val="auto"/>
                <w:kern w:val="0"/>
                <w:sz w:val="24"/>
                <w:highlight w:val="none"/>
              </w:rPr>
              <w:t xml:space="preserve">   </w:t>
            </w:r>
          </w:p>
        </w:tc>
      </w:tr>
    </w:tbl>
    <w:p w14:paraId="6D261B98">
      <w:pPr>
        <w:pStyle w:val="3"/>
        <w:spacing w:beforeAutospacing="0" w:afterAutospacing="0" w:line="360" w:lineRule="auto"/>
        <w:ind w:firstLine="480" w:firstLineChars="200"/>
        <w:rPr>
          <w:rFonts w:cs="宋体"/>
          <w:b w:val="0"/>
          <w:color w:val="auto"/>
          <w:sz w:val="24"/>
          <w:szCs w:val="24"/>
          <w:highlight w:val="none"/>
        </w:rPr>
      </w:pPr>
      <w:r>
        <w:rPr>
          <w:rFonts w:hint="eastAsia" w:cs="宋体"/>
          <w:b w:val="0"/>
          <w:color w:val="auto"/>
          <w:sz w:val="24"/>
          <w:szCs w:val="24"/>
          <w:highlight w:val="none"/>
        </w:rPr>
        <w:t>2.本项目合同包成交候选人数量：1名。</w:t>
      </w:r>
    </w:p>
    <w:p w14:paraId="3E741114">
      <w:pPr>
        <w:pStyle w:val="3"/>
        <w:spacing w:beforeAutospacing="0" w:afterAutospacing="0" w:line="360" w:lineRule="auto"/>
        <w:ind w:firstLine="480" w:firstLineChars="200"/>
        <w:rPr>
          <w:rFonts w:cs="宋体"/>
          <w:b w:val="0"/>
          <w:bCs/>
          <w:color w:val="auto"/>
          <w:sz w:val="24"/>
          <w:highlight w:val="none"/>
        </w:rPr>
      </w:pPr>
      <w:r>
        <w:rPr>
          <w:rFonts w:hint="eastAsia" w:cs="宋体"/>
          <w:b w:val="0"/>
          <w:bCs/>
          <w:color w:val="auto"/>
          <w:sz w:val="24"/>
          <w:highlight w:val="none"/>
        </w:rPr>
        <w:t>3.本项目为</w:t>
      </w:r>
      <w:r>
        <w:rPr>
          <w:rFonts w:hint="eastAsia" w:cs="宋体"/>
          <w:b w:val="0"/>
          <w:bCs/>
          <w:color w:val="auto"/>
          <w:sz w:val="24"/>
          <w:highlight w:val="none"/>
          <w:lang w:eastAsia="zh-CN"/>
        </w:rPr>
        <w:t>莆田监狱亲情电话服务（含远程视频功能）采购项目</w:t>
      </w:r>
      <w:r>
        <w:rPr>
          <w:rFonts w:hint="eastAsia" w:cs="宋体"/>
          <w:b w:val="0"/>
          <w:bCs/>
          <w:color w:val="auto"/>
          <w:sz w:val="24"/>
          <w:highlight w:val="none"/>
        </w:rPr>
        <w:t>。要求供应商根据本网上竞价文件提出的技术要求对所需技术服务等进行报价。</w:t>
      </w:r>
    </w:p>
    <w:p w14:paraId="0372148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4.供应商应严格遵照</w:t>
      </w:r>
      <w:r>
        <w:rPr>
          <w:rFonts w:hint="eastAsia" w:ascii="宋体" w:hAnsi="宋体" w:cs="宋体"/>
          <w:bCs/>
          <w:color w:val="auto"/>
          <w:sz w:val="24"/>
          <w:highlight w:val="none"/>
        </w:rPr>
        <w:t>本网上竞价文件</w:t>
      </w:r>
      <w:r>
        <w:rPr>
          <w:rFonts w:hint="eastAsia" w:ascii="宋体" w:hAnsi="宋体" w:cs="宋体"/>
          <w:color w:val="auto"/>
          <w:sz w:val="24"/>
          <w:highlight w:val="none"/>
        </w:rPr>
        <w:t>中所涉及的技术要求和规范，供应商可以比</w:t>
      </w:r>
      <w:r>
        <w:rPr>
          <w:rFonts w:hint="eastAsia" w:ascii="宋体" w:hAnsi="宋体" w:cs="宋体"/>
          <w:bCs/>
          <w:color w:val="auto"/>
          <w:sz w:val="24"/>
          <w:highlight w:val="none"/>
        </w:rPr>
        <w:t>本网上竞价文件</w:t>
      </w:r>
      <w:r>
        <w:rPr>
          <w:rFonts w:hint="eastAsia" w:ascii="宋体" w:hAnsi="宋体" w:cs="宋体"/>
          <w:color w:val="auto"/>
          <w:sz w:val="24"/>
          <w:highlight w:val="none"/>
        </w:rPr>
        <w:t>技术要求更高的服务参加报价，并列出详细技术参数偏离表。本项目不允许负偏离。</w:t>
      </w:r>
    </w:p>
    <w:p w14:paraId="11AF329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供应商应以包括有关本项目的所有费用进行报价，应包括但不限于项目执行所有费用。本项目所发生的一切费用均包含在报价中，如有遗漏，由供应商自行补充，一旦成交视为供应商认同遗漏部分并免费提供。采购人不再进行任何增补。合同金额为成交报价金额。</w:t>
      </w:r>
    </w:p>
    <w:p w14:paraId="52207708">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项目概述：为更好推动亲情帮教数字化，拟利用网络音视频流媒体技术，结合先进的信息技术手段，为学员及家属之间搭建远程帮教亲情视频通话服务平台。远程帮教亲情视频通话的实现应该操作简单，易于家属使用，同时整个远程帮教亲情可视通话流程应处于民警的有效监管之下，民警可以对整个可视通话流程进行审批、监听、监视、查询、录音、录像、插话、可视语音互转、复听、下载等操作，在确保安全可控情况下方便家属与学员视频通话。本次亲情电话（含远程视频功能）项目服务采购应能利旧原来家属端小程序入口及利旧已部署在每个分监区的视频电话终端（包括亲情通话终端和民警监控终端）。亲情电话平台，通过电话网等方式实现监内电话机与家属老人机（非智能机）或固定电话的语音通话，并具备流程审批、监听、查询、录音、回放、下载等功能。本地服务器用于后端管理平台软件部署及音频存储。远程帮教亲情可视电话服务平台和亲情电话平台可以合二为一。</w:t>
      </w:r>
    </w:p>
    <w:p w14:paraId="616BD738">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b/>
          <w:bCs/>
          <w:color w:val="auto"/>
          <w:sz w:val="24"/>
          <w:highlight w:val="none"/>
        </w:rPr>
      </w:pPr>
    </w:p>
    <w:p w14:paraId="5E55ADFE">
      <w:pPr>
        <w:keepNext w:val="0"/>
        <w:keepLines w:val="0"/>
        <w:pageBreakBefore w:val="0"/>
        <w:widowControl w:val="0"/>
        <w:kinsoku/>
        <w:wordWrap/>
        <w:overflowPunct/>
        <w:topLinePunct w:val="0"/>
        <w:bidi w:val="0"/>
        <w:snapToGrid/>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二、技术和服务要求</w:t>
      </w:r>
      <w:r>
        <w:rPr>
          <w:b/>
          <w:color w:val="auto"/>
          <w:sz w:val="24"/>
          <w:highlight w:val="none"/>
        </w:rPr>
        <w:t>（下述所有要求均为不允许偏离的实质性要求，若负偏离则按无效报价处理。）</w:t>
      </w:r>
    </w:p>
    <w:p w14:paraId="0B146F7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color w:val="auto"/>
          <w:kern w:val="0"/>
          <w:sz w:val="24"/>
          <w:szCs w:val="24"/>
          <w:highlight w:val="none"/>
          <w:lang w:eastAsia="zh-CN"/>
        </w:rPr>
        <w:t>（一）</w:t>
      </w:r>
      <w:r>
        <w:rPr>
          <w:rFonts w:hint="eastAsia" w:ascii="宋体" w:hAnsi="宋体" w:eastAsia="宋体" w:cs="宋体"/>
          <w:b/>
          <w:bCs/>
          <w:sz w:val="24"/>
          <w:szCs w:val="24"/>
          <w:highlight w:val="none"/>
        </w:rPr>
        <w:t>功能要求</w:t>
      </w:r>
    </w:p>
    <w:p w14:paraId="0199560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.系统平台总体设计要求</w:t>
      </w:r>
    </w:p>
    <w:p w14:paraId="115992B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1设计依据</w:t>
      </w:r>
    </w:p>
    <w:p w14:paraId="2361E47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系统的开发与建设遵循与参考以下的标准规范与依据：</w:t>
      </w:r>
    </w:p>
    <w:p w14:paraId="2A36292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《中华人民共和国监狱法》（2012年修正本）；</w:t>
      </w:r>
    </w:p>
    <w:p w14:paraId="1ADC933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《全国监狱信息化建设规划》；</w:t>
      </w:r>
    </w:p>
    <w:p w14:paraId="175EFD7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《司法部关于〈罪犯会见通话通信规定〉的通知》（司发通[2016]118号）文件；</w:t>
      </w:r>
    </w:p>
    <w:p w14:paraId="3669266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《司法部关于在监狱系统推行狱务公开的实施意见》相关规定；</w:t>
      </w:r>
    </w:p>
    <w:p w14:paraId="3496FA9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《软件开发总体技术规范(SF03003-2012)》；</w:t>
      </w:r>
    </w:p>
    <w:p w14:paraId="4B749BC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福建省监狱管理局《关于推进监管改造装备项目建设的通知》；</w:t>
      </w:r>
    </w:p>
    <w:p w14:paraId="3DA51B0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福建省监狱管理局《关于进一步加强疫情防控期间罪犯拨打亲情电话有关事项的通知》。</w:t>
      </w:r>
    </w:p>
    <w:p w14:paraId="1E96AA5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总体框架</w:t>
      </w:r>
    </w:p>
    <w:p w14:paraId="55FD90C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远程帮教亲情可视电话服务平台由家属应用端APP微信小程序软件、亲情应用端软件、民警监控应用端软件和省局管理平台软件及云资源组成，其中：</w:t>
      </w:r>
    </w:p>
    <w:p w14:paraId="00CF929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后端管理平台软件及云资源部署在云平台；</w:t>
      </w:r>
    </w:p>
    <w:p w14:paraId="033871D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远程帮教亲情可视电话服务平台部署在监狱系统内网（监狱可根据实际需要，选择通过办公政务内网或其他架设内网访问），监狱</w:t>
      </w:r>
      <w:r>
        <w:rPr>
          <w:rFonts w:hint="eastAsia" w:ascii="宋体" w:hAnsi="宋体" w:eastAsia="宋体" w:cs="宋体"/>
          <w:sz w:val="24"/>
          <w:szCs w:val="24"/>
          <w:highlight w:val="none"/>
          <w:lang w:eastAsia="zh-CN"/>
        </w:rPr>
        <w:t>学员</w:t>
      </w:r>
      <w:r>
        <w:rPr>
          <w:rFonts w:hint="eastAsia" w:ascii="宋体" w:hAnsi="宋体" w:eastAsia="宋体" w:cs="宋体"/>
          <w:sz w:val="24"/>
          <w:szCs w:val="24"/>
          <w:highlight w:val="none"/>
        </w:rPr>
        <w:t>信息数据及预约审批数据等管理数据通过省局交换平台，与平台和云资源进行交换数据。数据交换传输应经过加密处理，系统支持数据接口查询，用于其他系统的数据调阅共享。</w:t>
      </w:r>
    </w:p>
    <w:p w14:paraId="78DBF1D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为确保数据</w:t>
      </w:r>
      <w:r>
        <w:rPr>
          <w:rFonts w:hint="eastAsia" w:ascii="宋体" w:hAnsi="宋体" w:eastAsia="宋体" w:cs="宋体"/>
          <w:sz w:val="24"/>
          <w:szCs w:val="24"/>
          <w:highlight w:val="none"/>
          <w:lang w:val="en-US" w:eastAsia="zh-CN"/>
        </w:rPr>
        <w:t>的有效性，</w:t>
      </w:r>
      <w:r>
        <w:rPr>
          <w:rFonts w:hint="eastAsia" w:ascii="宋体" w:hAnsi="宋体" w:eastAsia="宋体" w:cs="宋体"/>
          <w:sz w:val="24"/>
          <w:szCs w:val="24"/>
          <w:highlight w:val="none"/>
        </w:rPr>
        <w:t>远程帮教亲情可视电话服务平台</w:t>
      </w:r>
      <w:r>
        <w:rPr>
          <w:rFonts w:hint="eastAsia" w:ascii="宋体" w:hAnsi="宋体" w:eastAsia="宋体" w:cs="宋体"/>
          <w:sz w:val="24"/>
          <w:szCs w:val="24"/>
          <w:highlight w:val="none"/>
          <w:lang w:val="en-US" w:eastAsia="zh-CN"/>
        </w:rPr>
        <w:t>须与省局人员刑执信息系统数据对接</w:t>
      </w:r>
      <w:r>
        <w:rPr>
          <w:rFonts w:hint="eastAsia" w:ascii="宋体" w:hAnsi="宋体" w:eastAsia="宋体" w:cs="宋体"/>
          <w:sz w:val="24"/>
          <w:szCs w:val="24"/>
          <w:highlight w:val="none"/>
        </w:rPr>
        <w:t>。</w:t>
      </w:r>
    </w:p>
    <w:p w14:paraId="1869FEF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家属应用端APP微信小程序软件由家属移动终端接入系统；</w:t>
      </w:r>
    </w:p>
    <w:p w14:paraId="28FB9F2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2.2远程帮教亲情可视电话服务平台功能要求</w:t>
      </w:r>
    </w:p>
    <w:p w14:paraId="4C6BB80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远程帮教亲情可视电话服务平台采用</w:t>
      </w:r>
      <w:r>
        <w:rPr>
          <w:rFonts w:hint="eastAsia" w:ascii="宋体" w:hAnsi="宋体" w:eastAsia="宋体" w:cs="宋体"/>
          <w:sz w:val="24"/>
          <w:szCs w:val="24"/>
          <w:highlight w:val="none"/>
          <w:lang w:val="en-US" w:eastAsia="zh-CN"/>
        </w:rPr>
        <w:t>BS框架</w:t>
      </w:r>
      <w:r>
        <w:rPr>
          <w:rFonts w:hint="eastAsia" w:ascii="宋体" w:hAnsi="宋体" w:eastAsia="宋体" w:cs="宋体"/>
          <w:sz w:val="24"/>
          <w:szCs w:val="24"/>
          <w:highlight w:val="none"/>
        </w:rPr>
        <w:t>，提供云资源服务能力，为莆田监狱</w:t>
      </w:r>
      <w:r>
        <w:rPr>
          <w:rFonts w:hint="eastAsia" w:ascii="宋体" w:hAnsi="宋体" w:eastAsia="宋体" w:cs="宋体"/>
          <w:sz w:val="24"/>
          <w:szCs w:val="24"/>
          <w:highlight w:val="none"/>
          <w:lang w:eastAsia="zh-CN"/>
        </w:rPr>
        <w:t>学员</w:t>
      </w:r>
      <w:r>
        <w:rPr>
          <w:rFonts w:hint="eastAsia" w:ascii="宋体" w:hAnsi="宋体" w:eastAsia="宋体" w:cs="宋体"/>
          <w:sz w:val="24"/>
          <w:szCs w:val="24"/>
          <w:highlight w:val="none"/>
        </w:rPr>
        <w:t>及其亲属提供一项远程帮教可视通话管理服务；平台应具备以下功能：</w:t>
      </w:r>
    </w:p>
    <w:p w14:paraId="0857E98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1通话预约功能</w:t>
      </w:r>
    </w:p>
    <w:p w14:paraId="536B50A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平台具备</w:t>
      </w:r>
      <w:r>
        <w:rPr>
          <w:rFonts w:hint="eastAsia" w:ascii="宋体" w:hAnsi="宋体" w:eastAsia="宋体" w:cs="宋体"/>
          <w:sz w:val="24"/>
          <w:szCs w:val="24"/>
          <w:highlight w:val="none"/>
          <w:lang w:eastAsia="zh-CN"/>
        </w:rPr>
        <w:t>学员</w:t>
      </w:r>
      <w:r>
        <w:rPr>
          <w:rFonts w:hint="eastAsia" w:ascii="宋体" w:hAnsi="宋体" w:eastAsia="宋体" w:cs="宋体"/>
          <w:sz w:val="24"/>
          <w:szCs w:val="24"/>
          <w:highlight w:val="none"/>
        </w:rPr>
        <w:t>家属通过客户端自助预约通话及监内民警预约通话发起功能，预约过程中使用人证比对以防止身份冒用。</w:t>
      </w:r>
    </w:p>
    <w:p w14:paraId="48F9596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2通话管理功能</w:t>
      </w:r>
    </w:p>
    <w:p w14:paraId="54ADD0B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实现分监区、监区、业务科室对通话的预约审批，即：分监区发起→监区审核→业务科室审批，审批内容包括拨打对象和可拨打有效期，拨打有效期可由业务科室在后台直接（批量）设置或修改。审批过后，通过审批的</w:t>
      </w:r>
      <w:r>
        <w:rPr>
          <w:rFonts w:hint="eastAsia" w:ascii="宋体" w:hAnsi="宋体" w:eastAsia="宋体" w:cs="宋体"/>
          <w:sz w:val="24"/>
          <w:szCs w:val="24"/>
          <w:highlight w:val="none"/>
          <w:lang w:eastAsia="zh-CN"/>
        </w:rPr>
        <w:t>学员</w:t>
      </w:r>
      <w:r>
        <w:rPr>
          <w:rFonts w:hint="eastAsia" w:ascii="宋体" w:hAnsi="宋体" w:eastAsia="宋体" w:cs="宋体"/>
          <w:sz w:val="24"/>
          <w:szCs w:val="24"/>
          <w:highlight w:val="none"/>
        </w:rPr>
        <w:t>在可拨打时间段，预约拨打动作由分监区直接发起，不需要再多级审批。</w:t>
      </w:r>
    </w:p>
    <w:p w14:paraId="5AD8073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（2）实现</w:t>
      </w:r>
      <w:r>
        <w:rPr>
          <w:rFonts w:hint="eastAsia" w:ascii="宋体" w:hAnsi="宋体" w:eastAsia="宋体" w:cs="宋体"/>
          <w:sz w:val="24"/>
          <w:szCs w:val="24"/>
          <w:highlight w:val="none"/>
          <w:lang w:eastAsia="zh-CN"/>
        </w:rPr>
        <w:t>学员</w:t>
      </w:r>
      <w:r>
        <w:rPr>
          <w:rFonts w:hint="eastAsia" w:ascii="宋体" w:hAnsi="宋体" w:eastAsia="宋体" w:cs="宋体"/>
          <w:sz w:val="24"/>
          <w:szCs w:val="24"/>
          <w:highlight w:val="none"/>
        </w:rPr>
        <w:t>和家属正式通话前，必须先收听监狱录制的特定语音提示（语音内容可更改），语音提示的播放时间不计入双方通话时间。</w:t>
      </w:r>
    </w:p>
    <w:p w14:paraId="4AB69FA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（3）实现民警对通话的确认、监听、插话、中断以及终止等操作。</w:t>
      </w:r>
    </w:p>
    <w:p w14:paraId="64A5E65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（4）系统应实现防录屏以及实时人脸比对功能。</w:t>
      </w:r>
    </w:p>
    <w:p w14:paraId="4331FE4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（5）系统应具备</w:t>
      </w:r>
      <w:r>
        <w:rPr>
          <w:rFonts w:hint="eastAsia" w:ascii="宋体" w:hAnsi="宋体" w:eastAsia="宋体" w:cs="宋体"/>
          <w:sz w:val="24"/>
          <w:szCs w:val="24"/>
          <w:highlight w:val="none"/>
          <w:lang w:eastAsia="zh-CN"/>
        </w:rPr>
        <w:t>学员</w:t>
      </w:r>
      <w:r>
        <w:rPr>
          <w:rFonts w:hint="eastAsia" w:ascii="宋体" w:hAnsi="宋体" w:eastAsia="宋体" w:cs="宋体"/>
          <w:sz w:val="24"/>
          <w:szCs w:val="24"/>
          <w:highlight w:val="none"/>
        </w:rPr>
        <w:t>信息数据及预约审批数据等管理数据通过省局交换平台，与平台和云资源进行交换数据。数据交换传输应经过加密处理，系统支持数据接口查询，用于其他系统的数据调阅共享。</w:t>
      </w:r>
    </w:p>
    <w:p w14:paraId="0D7B2A0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云资源服务支撑要求</w:t>
      </w:r>
    </w:p>
    <w:p w14:paraId="36EDEC0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云资源要满足包括音视频流媒体引擎服务、实名认证服务、人脸识别服务和云服务资源的支撑，具体要求如下：</w:t>
      </w:r>
    </w:p>
    <w:p w14:paraId="18BDFC6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1音视频流媒体引擎服务</w:t>
      </w:r>
    </w:p>
    <w:p w14:paraId="74FC3AA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平台可通过调用视音频媒体云服务接口，提供不同的视频标准源格式、码率、帧频下矩形图像的有效编码，建立可视通话的视音频服务通道。</w:t>
      </w:r>
    </w:p>
    <w:p w14:paraId="6571A96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2实名认证服务</w:t>
      </w:r>
    </w:p>
    <w:p w14:paraId="59AB8F2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平台可通过调用公安部可信身份认证体系，对家属身份进行活体、实名、人证合一的身份认证，确保家属身份真实性，并进行识别信息自动填充。</w:t>
      </w:r>
    </w:p>
    <w:p w14:paraId="14ABBE6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3人脸识别服务</w:t>
      </w:r>
    </w:p>
    <w:p w14:paraId="0BB0F8D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平台可通过调用全过程人脸动态识别能力接口，针对动态视频实时识别，深度优化，具备多模型特征实时并发检测及高并发能力。</w:t>
      </w:r>
    </w:p>
    <w:p w14:paraId="14E3CE1F">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（二）</w:t>
      </w:r>
      <w:r>
        <w:rPr>
          <w:rFonts w:hint="eastAsia" w:ascii="宋体" w:hAnsi="宋体" w:eastAsia="宋体" w:cs="宋体"/>
          <w:b/>
          <w:bCs/>
          <w:sz w:val="24"/>
          <w:szCs w:val="24"/>
          <w:highlight w:val="none"/>
        </w:rPr>
        <w:t>技术要求</w:t>
      </w:r>
    </w:p>
    <w:p w14:paraId="57D238A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远程帮教亲情可视电话服务平台</w:t>
      </w:r>
    </w:p>
    <w:p w14:paraId="0F9AE42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1远程帮教亲情可视电话服务平台必须是正规版权且无版权纠纷产品，具备国家版权局颁布的计算机软件著作权登记证书。</w:t>
      </w:r>
    </w:p>
    <w:p w14:paraId="041E400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2家属应用端实名认证：家属注册后，须进行实名认证，系统调用公安可信身份认证体系，对家属身份进行活体、实名、人证合一身份认证，确保家属身份真实性。</w:t>
      </w:r>
    </w:p>
    <w:p w14:paraId="1B57315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3家属应用端绑定</w:t>
      </w:r>
      <w:r>
        <w:rPr>
          <w:rFonts w:hint="eastAsia" w:ascii="宋体" w:hAnsi="宋体" w:eastAsia="宋体" w:cs="宋体"/>
          <w:sz w:val="24"/>
          <w:szCs w:val="24"/>
          <w:highlight w:val="none"/>
          <w:lang w:eastAsia="zh-CN"/>
        </w:rPr>
        <w:t>学员</w:t>
      </w:r>
      <w:r>
        <w:rPr>
          <w:rFonts w:hint="eastAsia" w:ascii="宋体" w:hAnsi="宋体" w:eastAsia="宋体" w:cs="宋体"/>
          <w:sz w:val="24"/>
          <w:szCs w:val="24"/>
          <w:highlight w:val="none"/>
        </w:rPr>
        <w:t>：系统应具备精准绑定功能，避免非家属用户恶意注册。家属通过选择</w:t>
      </w:r>
      <w:r>
        <w:rPr>
          <w:rFonts w:hint="eastAsia" w:ascii="宋体" w:hAnsi="宋体" w:eastAsia="宋体" w:cs="宋体"/>
          <w:sz w:val="24"/>
          <w:szCs w:val="24"/>
          <w:highlight w:val="none"/>
          <w:lang w:eastAsia="zh-CN"/>
        </w:rPr>
        <w:t>学员</w:t>
      </w:r>
      <w:r>
        <w:rPr>
          <w:rFonts w:hint="eastAsia" w:ascii="宋体" w:hAnsi="宋体" w:eastAsia="宋体" w:cs="宋体"/>
          <w:sz w:val="24"/>
          <w:szCs w:val="24"/>
          <w:highlight w:val="none"/>
        </w:rPr>
        <w:t>所在监狱名称、身份编号进行真实绑定，系统自动校验</w:t>
      </w:r>
      <w:r>
        <w:rPr>
          <w:rFonts w:hint="eastAsia" w:ascii="宋体" w:hAnsi="宋体" w:eastAsia="宋体" w:cs="宋体"/>
          <w:sz w:val="24"/>
          <w:szCs w:val="24"/>
          <w:highlight w:val="none"/>
          <w:lang w:eastAsia="zh-CN"/>
        </w:rPr>
        <w:t>学员</w:t>
      </w:r>
      <w:r>
        <w:rPr>
          <w:rFonts w:hint="eastAsia" w:ascii="宋体" w:hAnsi="宋体" w:eastAsia="宋体" w:cs="宋体"/>
          <w:sz w:val="24"/>
          <w:szCs w:val="24"/>
          <w:highlight w:val="none"/>
        </w:rPr>
        <w:t>信息后，上传犯属关系证明文件后，提交监狱管理部门审核，犯属关系经监狱内部管理平台审核审批后，系统通过短信通知家属。</w:t>
      </w:r>
    </w:p>
    <w:p w14:paraId="408169D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4家属应用端陪同探视：系统应具备多陪同人员参与可视通话功能，陪同人员应具备成年直系亲属及儿童直系亲属两种模式；成年陪同人员登记，系统通过调用手机摄像头进行成年陪同人员人脸拍照，调用公安可信身份认证体系，对成年陪同人员身份进行活体、实名、人证合一身份认证，确保陪同人员身份真实性；儿童陪同人员登记需进行儿童头像拍照上传，无须公安人证合一及实名认证</w:t>
      </w:r>
      <w:r>
        <w:rPr>
          <w:rFonts w:hint="eastAsia" w:ascii="宋体" w:hAnsi="宋体" w:eastAsia="宋体" w:cs="宋体"/>
          <w:sz w:val="24"/>
          <w:szCs w:val="24"/>
          <w:highlight w:val="none"/>
          <w:lang w:eastAsia="zh-CN"/>
        </w:rPr>
        <w:t>；</w:t>
      </w:r>
      <w:r>
        <w:rPr>
          <w:rFonts w:hint="eastAsia" w:ascii="宋体" w:hAnsi="宋体" w:eastAsia="宋体" w:cs="宋体"/>
          <w:b/>
          <w:bCs w:val="0"/>
          <w:kern w:val="0"/>
          <w:sz w:val="24"/>
          <w:szCs w:val="24"/>
          <w:highlight w:val="none"/>
        </w:rPr>
        <w:t>（供应商须</w:t>
      </w:r>
      <w:r>
        <w:rPr>
          <w:rFonts w:hint="eastAsia" w:ascii="宋体" w:hAnsi="宋体" w:eastAsia="宋体" w:cs="宋体"/>
          <w:b/>
          <w:bCs/>
          <w:sz w:val="24"/>
          <w:highlight w:val="none"/>
        </w:rPr>
        <w:t>在响应文件中</w:t>
      </w:r>
      <w:r>
        <w:rPr>
          <w:rFonts w:hint="eastAsia" w:ascii="宋体" w:hAnsi="宋体" w:eastAsia="宋体" w:cs="宋体"/>
          <w:b/>
          <w:bCs w:val="0"/>
          <w:kern w:val="0"/>
          <w:sz w:val="24"/>
          <w:szCs w:val="24"/>
          <w:highlight w:val="none"/>
        </w:rPr>
        <w:t>提供所投产品具有</w:t>
      </w:r>
      <w:r>
        <w:rPr>
          <w:rFonts w:ascii="宋体" w:hAnsi="宋体" w:eastAsia="宋体" w:cs="宋体"/>
          <w:b/>
          <w:bCs w:val="0"/>
          <w:kern w:val="0"/>
          <w:sz w:val="24"/>
          <w:szCs w:val="24"/>
          <w:highlight w:val="none"/>
        </w:rPr>
        <w:t>CMA或CNAS认证标识的检测</w:t>
      </w:r>
      <w:r>
        <w:rPr>
          <w:rFonts w:hint="eastAsia" w:ascii="宋体" w:hAnsi="宋体" w:eastAsia="宋体" w:cs="宋体"/>
          <w:b/>
          <w:bCs w:val="0"/>
          <w:kern w:val="0"/>
          <w:sz w:val="24"/>
          <w:szCs w:val="24"/>
          <w:highlight w:val="none"/>
          <w:lang w:eastAsia="zh-CN"/>
        </w:rPr>
        <w:t>（验）</w:t>
      </w:r>
      <w:r>
        <w:rPr>
          <w:rFonts w:ascii="宋体" w:hAnsi="宋体" w:eastAsia="宋体" w:cs="宋体"/>
          <w:b/>
          <w:bCs w:val="0"/>
          <w:kern w:val="0"/>
          <w:sz w:val="24"/>
          <w:szCs w:val="24"/>
          <w:highlight w:val="none"/>
        </w:rPr>
        <w:t>机构出具的有效检测</w:t>
      </w:r>
      <w:r>
        <w:rPr>
          <w:rFonts w:hint="eastAsia" w:ascii="宋体" w:hAnsi="宋体" w:eastAsia="宋体" w:cs="宋体"/>
          <w:b/>
          <w:bCs w:val="0"/>
          <w:kern w:val="0"/>
          <w:sz w:val="24"/>
          <w:szCs w:val="24"/>
          <w:highlight w:val="none"/>
          <w:lang w:eastAsia="zh-CN"/>
        </w:rPr>
        <w:t>（验）</w:t>
      </w:r>
      <w:r>
        <w:rPr>
          <w:rFonts w:ascii="宋体" w:hAnsi="宋体" w:eastAsia="宋体" w:cs="宋体"/>
          <w:b/>
          <w:bCs w:val="0"/>
          <w:kern w:val="0"/>
          <w:sz w:val="24"/>
          <w:szCs w:val="24"/>
          <w:highlight w:val="none"/>
        </w:rPr>
        <w:t>报告复印件</w:t>
      </w:r>
      <w:r>
        <w:rPr>
          <w:rFonts w:hint="eastAsia" w:ascii="宋体" w:hAnsi="宋体" w:eastAsia="宋体" w:cs="宋体"/>
          <w:b/>
          <w:bCs w:val="0"/>
          <w:kern w:val="0"/>
          <w:sz w:val="24"/>
          <w:szCs w:val="24"/>
          <w:highlight w:val="none"/>
          <w:lang w:eastAsia="zh-CN"/>
        </w:rPr>
        <w:t>，未提供的</w:t>
      </w:r>
      <w:r>
        <w:rPr>
          <w:rFonts w:hint="eastAsia" w:ascii="宋体" w:hAnsi="宋体" w:eastAsia="宋体" w:cs="宋体"/>
          <w:b/>
          <w:bCs/>
          <w:sz w:val="24"/>
          <w:highlight w:val="none"/>
        </w:rPr>
        <w:t>按无效响应处理</w:t>
      </w:r>
      <w:r>
        <w:rPr>
          <w:rFonts w:hint="eastAsia" w:ascii="宋体" w:hAnsi="宋体" w:cs="宋体"/>
          <w:b/>
          <w:bCs/>
          <w:sz w:val="24"/>
          <w:highlight w:val="none"/>
          <w:lang w:eastAsia="zh-CN"/>
        </w:rPr>
        <w:t>。</w:t>
      </w:r>
      <w:r>
        <w:rPr>
          <w:rFonts w:hint="eastAsia" w:ascii="宋体" w:hAnsi="宋体" w:eastAsia="宋体" w:cs="宋体"/>
          <w:b/>
          <w:bCs/>
          <w:color w:val="auto"/>
          <w:sz w:val="24"/>
          <w:szCs w:val="24"/>
          <w:highlight w:val="none"/>
        </w:rPr>
        <w:t>【注：提供的检测</w:t>
      </w:r>
      <w:r>
        <w:rPr>
          <w:rFonts w:hint="eastAsia" w:ascii="宋体" w:hAnsi="宋体" w:eastAsia="宋体" w:cs="宋体"/>
          <w:b/>
          <w:bCs w:val="0"/>
          <w:kern w:val="0"/>
          <w:sz w:val="24"/>
          <w:szCs w:val="24"/>
          <w:highlight w:val="none"/>
          <w:lang w:eastAsia="zh-CN"/>
        </w:rPr>
        <w:t>（验）</w:t>
      </w:r>
      <w:r>
        <w:rPr>
          <w:rFonts w:hint="eastAsia" w:ascii="宋体" w:hAnsi="宋体" w:eastAsia="宋体" w:cs="宋体"/>
          <w:b/>
          <w:bCs/>
          <w:color w:val="auto"/>
          <w:sz w:val="24"/>
          <w:szCs w:val="24"/>
          <w:highlight w:val="none"/>
        </w:rPr>
        <w:t>报告应带有</w:t>
      </w:r>
      <w:r>
        <w:rPr>
          <w:rFonts w:ascii="宋体" w:hAnsi="宋体" w:eastAsia="宋体" w:cs="宋体"/>
          <w:b/>
          <w:bCs w:val="0"/>
          <w:kern w:val="0"/>
          <w:sz w:val="24"/>
          <w:szCs w:val="24"/>
          <w:highlight w:val="none"/>
        </w:rPr>
        <w:t>CMA或CNAS</w:t>
      </w:r>
      <w:r>
        <w:rPr>
          <w:rFonts w:hint="eastAsia" w:ascii="宋体" w:hAnsi="宋体" w:eastAsia="宋体" w:cs="宋体"/>
          <w:b/>
          <w:bCs/>
          <w:color w:val="auto"/>
          <w:sz w:val="24"/>
          <w:szCs w:val="24"/>
          <w:highlight w:val="none"/>
        </w:rPr>
        <w:t>标识，否则应另行提供检测</w:t>
      </w:r>
      <w:r>
        <w:rPr>
          <w:rFonts w:hint="eastAsia" w:ascii="宋体" w:hAnsi="宋体" w:eastAsia="宋体" w:cs="宋体"/>
          <w:b/>
          <w:bCs w:val="0"/>
          <w:kern w:val="0"/>
          <w:sz w:val="24"/>
          <w:szCs w:val="24"/>
          <w:highlight w:val="none"/>
          <w:lang w:eastAsia="zh-CN"/>
        </w:rPr>
        <w:t>（验）</w:t>
      </w:r>
      <w:r>
        <w:rPr>
          <w:rFonts w:hint="eastAsia" w:ascii="宋体" w:hAnsi="宋体" w:eastAsia="宋体" w:cs="宋体"/>
          <w:b/>
          <w:bCs/>
          <w:color w:val="auto"/>
          <w:sz w:val="24"/>
          <w:szCs w:val="24"/>
          <w:highlight w:val="none"/>
        </w:rPr>
        <w:t>机构具备</w:t>
      </w:r>
      <w:r>
        <w:rPr>
          <w:rFonts w:ascii="宋体" w:hAnsi="宋体" w:eastAsia="宋体" w:cs="宋体"/>
          <w:b/>
          <w:bCs w:val="0"/>
          <w:kern w:val="0"/>
          <w:sz w:val="24"/>
          <w:szCs w:val="24"/>
          <w:highlight w:val="none"/>
        </w:rPr>
        <w:t>CMA或CNAS</w:t>
      </w:r>
      <w:r>
        <w:rPr>
          <w:rFonts w:hint="eastAsia" w:ascii="宋体" w:hAnsi="宋体" w:eastAsia="宋体" w:cs="宋体"/>
          <w:b/>
          <w:bCs/>
          <w:color w:val="auto"/>
          <w:sz w:val="24"/>
          <w:szCs w:val="24"/>
          <w:highlight w:val="none"/>
        </w:rPr>
        <w:t>认可资格的证明材料复印件。供应商应在佐证材料的相关内容位置做醒目标注，以便报名审核，否则按不利于供应商进行评审</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w:t>
      </w:r>
      <w:r>
        <w:rPr>
          <w:rFonts w:ascii="宋体" w:hAnsi="宋体" w:eastAsia="宋体" w:cs="宋体"/>
          <w:b/>
          <w:bCs w:val="0"/>
          <w:kern w:val="0"/>
          <w:sz w:val="24"/>
          <w:szCs w:val="24"/>
          <w:highlight w:val="none"/>
        </w:rPr>
        <w:t>)</w:t>
      </w:r>
      <w:r>
        <w:rPr>
          <w:rFonts w:hint="eastAsia" w:ascii="宋体" w:hAnsi="宋体" w:eastAsia="宋体" w:cs="宋体"/>
          <w:sz w:val="24"/>
          <w:szCs w:val="24"/>
          <w:highlight w:val="none"/>
        </w:rPr>
        <w:t>。</w:t>
      </w:r>
    </w:p>
    <w:p w14:paraId="64FE7F1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5家属应用端通话预约：系统应用具备家属主动预约和监内预约发起功能（监狱可视实际情况选择启用不同模式）。家属可通过APP微信小程序进行通话预约申请，提交监狱管理部门预约审核（支持分监区、监区、监狱分级审核）。审批后的预约信息通过短信通知家属。</w:t>
      </w:r>
    </w:p>
    <w:p w14:paraId="7B65A81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6家属应用端预约确认：为避免家属占线或拨打不通，系统应具备家属预约确认功能。当家属主动预约审核或监内预约发起成功后，系统自动推送预约通话确认信息，家属预约确认后，民警根据家属确认情况，安排</w:t>
      </w:r>
      <w:r>
        <w:rPr>
          <w:rFonts w:hint="eastAsia" w:ascii="宋体" w:hAnsi="宋体" w:eastAsia="宋体" w:cs="宋体"/>
          <w:sz w:val="24"/>
          <w:szCs w:val="24"/>
          <w:highlight w:val="none"/>
          <w:lang w:eastAsia="zh-CN"/>
        </w:rPr>
        <w:t>学员</w:t>
      </w:r>
      <w:r>
        <w:rPr>
          <w:rFonts w:hint="eastAsia" w:ascii="宋体" w:hAnsi="宋体" w:eastAsia="宋体" w:cs="宋体"/>
          <w:sz w:val="24"/>
          <w:szCs w:val="24"/>
          <w:highlight w:val="none"/>
        </w:rPr>
        <w:t>进行可视通话准备，保证可视通话成功，减轻民警多次安排通话工作压力</w:t>
      </w:r>
      <w:r>
        <w:rPr>
          <w:rFonts w:hint="eastAsia" w:ascii="宋体" w:hAnsi="宋体" w:eastAsia="宋体" w:cs="宋体"/>
          <w:sz w:val="24"/>
          <w:szCs w:val="24"/>
          <w:highlight w:val="none"/>
          <w:lang w:eastAsia="zh-CN"/>
        </w:rPr>
        <w:t>；</w:t>
      </w:r>
      <w:r>
        <w:rPr>
          <w:rFonts w:hint="eastAsia" w:ascii="宋体" w:hAnsi="宋体" w:eastAsia="宋体" w:cs="宋体"/>
          <w:b/>
          <w:bCs w:val="0"/>
          <w:kern w:val="0"/>
          <w:sz w:val="24"/>
          <w:szCs w:val="24"/>
          <w:highlight w:val="none"/>
        </w:rPr>
        <w:t>（供应商须</w:t>
      </w:r>
      <w:r>
        <w:rPr>
          <w:rFonts w:hint="eastAsia" w:ascii="宋体" w:hAnsi="宋体" w:eastAsia="宋体" w:cs="宋体"/>
          <w:b/>
          <w:bCs/>
          <w:sz w:val="24"/>
          <w:highlight w:val="none"/>
        </w:rPr>
        <w:t>在响应文件中</w:t>
      </w:r>
      <w:r>
        <w:rPr>
          <w:rFonts w:hint="eastAsia" w:ascii="宋体" w:hAnsi="宋体" w:eastAsia="宋体" w:cs="宋体"/>
          <w:b/>
          <w:bCs w:val="0"/>
          <w:kern w:val="0"/>
          <w:sz w:val="24"/>
          <w:szCs w:val="24"/>
          <w:highlight w:val="none"/>
        </w:rPr>
        <w:t>提供所投产品具有</w:t>
      </w:r>
      <w:r>
        <w:rPr>
          <w:rFonts w:ascii="宋体" w:hAnsi="宋体" w:eastAsia="宋体" w:cs="宋体"/>
          <w:b/>
          <w:bCs w:val="0"/>
          <w:kern w:val="0"/>
          <w:sz w:val="24"/>
          <w:szCs w:val="24"/>
          <w:highlight w:val="none"/>
        </w:rPr>
        <w:t>CMA或CNAS认证标识的检测</w:t>
      </w:r>
      <w:r>
        <w:rPr>
          <w:rFonts w:hint="eastAsia" w:ascii="宋体" w:hAnsi="宋体" w:eastAsia="宋体" w:cs="宋体"/>
          <w:b/>
          <w:bCs w:val="0"/>
          <w:kern w:val="0"/>
          <w:sz w:val="24"/>
          <w:szCs w:val="24"/>
          <w:highlight w:val="none"/>
          <w:lang w:eastAsia="zh-CN"/>
        </w:rPr>
        <w:t>（验）</w:t>
      </w:r>
      <w:r>
        <w:rPr>
          <w:rFonts w:ascii="宋体" w:hAnsi="宋体" w:eastAsia="宋体" w:cs="宋体"/>
          <w:b/>
          <w:bCs w:val="0"/>
          <w:kern w:val="0"/>
          <w:sz w:val="24"/>
          <w:szCs w:val="24"/>
          <w:highlight w:val="none"/>
        </w:rPr>
        <w:t>机构出具的有效检测</w:t>
      </w:r>
      <w:r>
        <w:rPr>
          <w:rFonts w:hint="eastAsia" w:ascii="宋体" w:hAnsi="宋体" w:eastAsia="宋体" w:cs="宋体"/>
          <w:b/>
          <w:bCs w:val="0"/>
          <w:kern w:val="0"/>
          <w:sz w:val="24"/>
          <w:szCs w:val="24"/>
          <w:highlight w:val="none"/>
          <w:lang w:eastAsia="zh-CN"/>
        </w:rPr>
        <w:t>（验）</w:t>
      </w:r>
      <w:r>
        <w:rPr>
          <w:rFonts w:ascii="宋体" w:hAnsi="宋体" w:eastAsia="宋体" w:cs="宋体"/>
          <w:b/>
          <w:bCs w:val="0"/>
          <w:kern w:val="0"/>
          <w:sz w:val="24"/>
          <w:szCs w:val="24"/>
          <w:highlight w:val="none"/>
        </w:rPr>
        <w:t>报告复印件</w:t>
      </w:r>
      <w:r>
        <w:rPr>
          <w:rFonts w:hint="eastAsia" w:ascii="宋体" w:hAnsi="宋体" w:eastAsia="宋体" w:cs="宋体"/>
          <w:b/>
          <w:bCs w:val="0"/>
          <w:kern w:val="0"/>
          <w:sz w:val="24"/>
          <w:szCs w:val="24"/>
          <w:highlight w:val="none"/>
          <w:lang w:eastAsia="zh-CN"/>
        </w:rPr>
        <w:t>，未提供的</w:t>
      </w:r>
      <w:r>
        <w:rPr>
          <w:rFonts w:hint="eastAsia" w:ascii="宋体" w:hAnsi="宋体" w:eastAsia="宋体" w:cs="宋体"/>
          <w:b/>
          <w:bCs/>
          <w:sz w:val="24"/>
          <w:highlight w:val="none"/>
        </w:rPr>
        <w:t>按无效响应处理</w:t>
      </w:r>
      <w:r>
        <w:rPr>
          <w:rFonts w:hint="eastAsia" w:ascii="宋体" w:hAnsi="宋体" w:cs="宋体"/>
          <w:b/>
          <w:bCs/>
          <w:sz w:val="24"/>
          <w:highlight w:val="none"/>
          <w:lang w:eastAsia="zh-CN"/>
        </w:rPr>
        <w:t>。</w:t>
      </w:r>
      <w:r>
        <w:rPr>
          <w:rFonts w:hint="eastAsia" w:ascii="宋体" w:hAnsi="宋体" w:eastAsia="宋体" w:cs="宋体"/>
          <w:b/>
          <w:bCs/>
          <w:color w:val="auto"/>
          <w:sz w:val="24"/>
          <w:szCs w:val="24"/>
          <w:highlight w:val="none"/>
        </w:rPr>
        <w:t>【注：提供的检测</w:t>
      </w:r>
      <w:r>
        <w:rPr>
          <w:rFonts w:hint="eastAsia" w:ascii="宋体" w:hAnsi="宋体" w:eastAsia="宋体" w:cs="宋体"/>
          <w:b/>
          <w:bCs w:val="0"/>
          <w:kern w:val="0"/>
          <w:sz w:val="24"/>
          <w:szCs w:val="24"/>
          <w:highlight w:val="none"/>
          <w:lang w:eastAsia="zh-CN"/>
        </w:rPr>
        <w:t>（验）</w:t>
      </w:r>
      <w:r>
        <w:rPr>
          <w:rFonts w:hint="eastAsia" w:ascii="宋体" w:hAnsi="宋体" w:eastAsia="宋体" w:cs="宋体"/>
          <w:b/>
          <w:bCs/>
          <w:color w:val="auto"/>
          <w:sz w:val="24"/>
          <w:szCs w:val="24"/>
          <w:highlight w:val="none"/>
        </w:rPr>
        <w:t>报告应带有</w:t>
      </w:r>
      <w:r>
        <w:rPr>
          <w:rFonts w:ascii="宋体" w:hAnsi="宋体" w:eastAsia="宋体" w:cs="宋体"/>
          <w:b/>
          <w:bCs w:val="0"/>
          <w:kern w:val="0"/>
          <w:sz w:val="24"/>
          <w:szCs w:val="24"/>
          <w:highlight w:val="none"/>
        </w:rPr>
        <w:t>CMA或CNAS</w:t>
      </w:r>
      <w:r>
        <w:rPr>
          <w:rFonts w:hint="eastAsia" w:ascii="宋体" w:hAnsi="宋体" w:eastAsia="宋体" w:cs="宋体"/>
          <w:b/>
          <w:bCs/>
          <w:color w:val="auto"/>
          <w:sz w:val="24"/>
          <w:szCs w:val="24"/>
          <w:highlight w:val="none"/>
        </w:rPr>
        <w:t>标识，否则应另行提供检测</w:t>
      </w:r>
      <w:r>
        <w:rPr>
          <w:rFonts w:hint="eastAsia" w:ascii="宋体" w:hAnsi="宋体" w:eastAsia="宋体" w:cs="宋体"/>
          <w:b/>
          <w:bCs w:val="0"/>
          <w:kern w:val="0"/>
          <w:sz w:val="24"/>
          <w:szCs w:val="24"/>
          <w:highlight w:val="none"/>
          <w:lang w:eastAsia="zh-CN"/>
        </w:rPr>
        <w:t>（验）</w:t>
      </w:r>
      <w:r>
        <w:rPr>
          <w:rFonts w:hint="eastAsia" w:ascii="宋体" w:hAnsi="宋体" w:eastAsia="宋体" w:cs="宋体"/>
          <w:b/>
          <w:bCs/>
          <w:color w:val="auto"/>
          <w:sz w:val="24"/>
          <w:szCs w:val="24"/>
          <w:highlight w:val="none"/>
        </w:rPr>
        <w:t>机构具备</w:t>
      </w:r>
      <w:r>
        <w:rPr>
          <w:rFonts w:ascii="宋体" w:hAnsi="宋体" w:eastAsia="宋体" w:cs="宋体"/>
          <w:b/>
          <w:bCs w:val="0"/>
          <w:kern w:val="0"/>
          <w:sz w:val="24"/>
          <w:szCs w:val="24"/>
          <w:highlight w:val="none"/>
        </w:rPr>
        <w:t>CMA或CNAS</w:t>
      </w:r>
      <w:r>
        <w:rPr>
          <w:rFonts w:hint="eastAsia" w:ascii="宋体" w:hAnsi="宋体" w:eastAsia="宋体" w:cs="宋体"/>
          <w:b/>
          <w:bCs/>
          <w:color w:val="auto"/>
          <w:sz w:val="24"/>
          <w:szCs w:val="24"/>
          <w:highlight w:val="none"/>
        </w:rPr>
        <w:t>认可资格的证明材料复印件。供应商应在佐证材料的相关内容位置做醒目标注，以便报名审核，否则按不利于供应商进行评审</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w:t>
      </w:r>
      <w:r>
        <w:rPr>
          <w:rFonts w:ascii="宋体" w:hAnsi="宋体" w:eastAsia="宋体" w:cs="宋体"/>
          <w:b/>
          <w:bCs w:val="0"/>
          <w:kern w:val="0"/>
          <w:sz w:val="24"/>
          <w:szCs w:val="24"/>
          <w:highlight w:val="none"/>
        </w:rPr>
        <w:t>)</w:t>
      </w:r>
      <w:r>
        <w:rPr>
          <w:rFonts w:hint="eastAsia" w:ascii="宋体" w:hAnsi="宋体" w:eastAsia="宋体" w:cs="宋体"/>
          <w:sz w:val="24"/>
          <w:szCs w:val="24"/>
          <w:highlight w:val="none"/>
        </w:rPr>
        <w:t>。</w:t>
      </w:r>
    </w:p>
    <w:p w14:paraId="4B7D148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7家属应用端可视通话：可视通话预约时间到后，家属通过APP微信小程序进入可视通话；具备音频通话及可视通话两种模式可选；通话过程，具备通话剩余时间提醒、音量调节、挂机等功能。可视通话最后1分钟，系统自动提醒并倒计时。</w:t>
      </w:r>
    </w:p>
    <w:p w14:paraId="51C4CFC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8家属应用端全程身份动态识别验证：系统具备全程身份动态识别验证功能，在可视通话过程中，出现非审批通过人员违规进入时，通话画面自动暂停，系统自动语音告警，民警根据现场情况判断是否中止通话；警告后，当违规参与人员退出后，系统自动识别并恢复可视通话</w:t>
      </w:r>
      <w:r>
        <w:rPr>
          <w:rFonts w:hint="eastAsia" w:ascii="宋体" w:hAnsi="宋体" w:eastAsia="宋体" w:cs="宋体"/>
          <w:sz w:val="24"/>
          <w:szCs w:val="24"/>
          <w:highlight w:val="none"/>
          <w:lang w:eastAsia="zh-CN"/>
        </w:rPr>
        <w:t>；</w:t>
      </w:r>
      <w:r>
        <w:rPr>
          <w:rFonts w:hint="eastAsia" w:ascii="宋体" w:hAnsi="宋体" w:eastAsia="宋体" w:cs="宋体"/>
          <w:b/>
          <w:bCs w:val="0"/>
          <w:kern w:val="0"/>
          <w:sz w:val="24"/>
          <w:szCs w:val="24"/>
          <w:highlight w:val="none"/>
        </w:rPr>
        <w:t>（供应商须</w:t>
      </w:r>
      <w:r>
        <w:rPr>
          <w:rFonts w:hint="eastAsia" w:ascii="宋体" w:hAnsi="宋体" w:eastAsia="宋体" w:cs="宋体"/>
          <w:b/>
          <w:bCs/>
          <w:sz w:val="24"/>
          <w:highlight w:val="none"/>
        </w:rPr>
        <w:t>在响应文件中</w:t>
      </w:r>
      <w:r>
        <w:rPr>
          <w:rFonts w:hint="eastAsia" w:ascii="宋体" w:hAnsi="宋体" w:eastAsia="宋体" w:cs="宋体"/>
          <w:b/>
          <w:bCs w:val="0"/>
          <w:kern w:val="0"/>
          <w:sz w:val="24"/>
          <w:szCs w:val="24"/>
          <w:highlight w:val="none"/>
        </w:rPr>
        <w:t>提供所投产品具有</w:t>
      </w:r>
      <w:r>
        <w:rPr>
          <w:rFonts w:ascii="宋体" w:hAnsi="宋体" w:eastAsia="宋体" w:cs="宋体"/>
          <w:b/>
          <w:bCs w:val="0"/>
          <w:kern w:val="0"/>
          <w:sz w:val="24"/>
          <w:szCs w:val="24"/>
          <w:highlight w:val="none"/>
        </w:rPr>
        <w:t>CMA或CNAS认证标识的检测</w:t>
      </w:r>
      <w:r>
        <w:rPr>
          <w:rFonts w:hint="eastAsia" w:ascii="宋体" w:hAnsi="宋体" w:eastAsia="宋体" w:cs="宋体"/>
          <w:b/>
          <w:bCs w:val="0"/>
          <w:kern w:val="0"/>
          <w:sz w:val="24"/>
          <w:szCs w:val="24"/>
          <w:highlight w:val="none"/>
          <w:lang w:eastAsia="zh-CN"/>
        </w:rPr>
        <w:t>（验）</w:t>
      </w:r>
      <w:r>
        <w:rPr>
          <w:rFonts w:ascii="宋体" w:hAnsi="宋体" w:eastAsia="宋体" w:cs="宋体"/>
          <w:b/>
          <w:bCs w:val="0"/>
          <w:kern w:val="0"/>
          <w:sz w:val="24"/>
          <w:szCs w:val="24"/>
          <w:highlight w:val="none"/>
        </w:rPr>
        <w:t>机构出具的有效检测</w:t>
      </w:r>
      <w:r>
        <w:rPr>
          <w:rFonts w:hint="eastAsia" w:ascii="宋体" w:hAnsi="宋体" w:eastAsia="宋体" w:cs="宋体"/>
          <w:b/>
          <w:bCs w:val="0"/>
          <w:kern w:val="0"/>
          <w:sz w:val="24"/>
          <w:szCs w:val="24"/>
          <w:highlight w:val="none"/>
          <w:lang w:eastAsia="zh-CN"/>
        </w:rPr>
        <w:t>（验）</w:t>
      </w:r>
      <w:r>
        <w:rPr>
          <w:rFonts w:ascii="宋体" w:hAnsi="宋体" w:eastAsia="宋体" w:cs="宋体"/>
          <w:b/>
          <w:bCs w:val="0"/>
          <w:kern w:val="0"/>
          <w:sz w:val="24"/>
          <w:szCs w:val="24"/>
          <w:highlight w:val="none"/>
        </w:rPr>
        <w:t>报告复印件</w:t>
      </w:r>
      <w:r>
        <w:rPr>
          <w:rFonts w:hint="eastAsia" w:ascii="宋体" w:hAnsi="宋体" w:eastAsia="宋体" w:cs="宋体"/>
          <w:b/>
          <w:bCs w:val="0"/>
          <w:kern w:val="0"/>
          <w:sz w:val="24"/>
          <w:szCs w:val="24"/>
          <w:highlight w:val="none"/>
          <w:lang w:eastAsia="zh-CN"/>
        </w:rPr>
        <w:t>，未提供的</w:t>
      </w:r>
      <w:r>
        <w:rPr>
          <w:rFonts w:hint="eastAsia" w:ascii="宋体" w:hAnsi="宋体" w:eastAsia="宋体" w:cs="宋体"/>
          <w:b/>
          <w:bCs/>
          <w:sz w:val="24"/>
          <w:highlight w:val="none"/>
        </w:rPr>
        <w:t>按无效响应处理</w:t>
      </w:r>
      <w:r>
        <w:rPr>
          <w:rFonts w:hint="eastAsia" w:ascii="宋体" w:hAnsi="宋体" w:cs="宋体"/>
          <w:b/>
          <w:bCs/>
          <w:sz w:val="24"/>
          <w:highlight w:val="none"/>
          <w:lang w:eastAsia="zh-CN"/>
        </w:rPr>
        <w:t>。</w:t>
      </w:r>
      <w:r>
        <w:rPr>
          <w:rFonts w:hint="eastAsia" w:ascii="宋体" w:hAnsi="宋体" w:eastAsia="宋体" w:cs="宋体"/>
          <w:b/>
          <w:bCs/>
          <w:color w:val="auto"/>
          <w:sz w:val="24"/>
          <w:szCs w:val="24"/>
          <w:highlight w:val="none"/>
        </w:rPr>
        <w:t>【注：提供的检测</w:t>
      </w:r>
      <w:r>
        <w:rPr>
          <w:rFonts w:hint="eastAsia" w:ascii="宋体" w:hAnsi="宋体" w:eastAsia="宋体" w:cs="宋体"/>
          <w:b/>
          <w:bCs w:val="0"/>
          <w:kern w:val="0"/>
          <w:sz w:val="24"/>
          <w:szCs w:val="24"/>
          <w:highlight w:val="none"/>
          <w:lang w:eastAsia="zh-CN"/>
        </w:rPr>
        <w:t>（验）</w:t>
      </w:r>
      <w:r>
        <w:rPr>
          <w:rFonts w:hint="eastAsia" w:ascii="宋体" w:hAnsi="宋体" w:eastAsia="宋体" w:cs="宋体"/>
          <w:b/>
          <w:bCs/>
          <w:color w:val="auto"/>
          <w:sz w:val="24"/>
          <w:szCs w:val="24"/>
          <w:highlight w:val="none"/>
        </w:rPr>
        <w:t>报告应带有</w:t>
      </w:r>
      <w:r>
        <w:rPr>
          <w:rFonts w:ascii="宋体" w:hAnsi="宋体" w:eastAsia="宋体" w:cs="宋体"/>
          <w:b/>
          <w:bCs w:val="0"/>
          <w:kern w:val="0"/>
          <w:sz w:val="24"/>
          <w:szCs w:val="24"/>
          <w:highlight w:val="none"/>
        </w:rPr>
        <w:t>CMA或CNAS</w:t>
      </w:r>
      <w:r>
        <w:rPr>
          <w:rFonts w:hint="eastAsia" w:ascii="宋体" w:hAnsi="宋体" w:eastAsia="宋体" w:cs="宋体"/>
          <w:b/>
          <w:bCs/>
          <w:color w:val="auto"/>
          <w:sz w:val="24"/>
          <w:szCs w:val="24"/>
          <w:highlight w:val="none"/>
        </w:rPr>
        <w:t>标识，否则应另行提供检测</w:t>
      </w:r>
      <w:r>
        <w:rPr>
          <w:rFonts w:hint="eastAsia" w:ascii="宋体" w:hAnsi="宋体" w:eastAsia="宋体" w:cs="宋体"/>
          <w:b/>
          <w:bCs w:val="0"/>
          <w:kern w:val="0"/>
          <w:sz w:val="24"/>
          <w:szCs w:val="24"/>
          <w:highlight w:val="none"/>
          <w:lang w:eastAsia="zh-CN"/>
        </w:rPr>
        <w:t>（验）</w:t>
      </w:r>
      <w:r>
        <w:rPr>
          <w:rFonts w:hint="eastAsia" w:ascii="宋体" w:hAnsi="宋体" w:eastAsia="宋体" w:cs="宋体"/>
          <w:b/>
          <w:bCs/>
          <w:color w:val="auto"/>
          <w:sz w:val="24"/>
          <w:szCs w:val="24"/>
          <w:highlight w:val="none"/>
        </w:rPr>
        <w:t>机构具备</w:t>
      </w:r>
      <w:r>
        <w:rPr>
          <w:rFonts w:ascii="宋体" w:hAnsi="宋体" w:eastAsia="宋体" w:cs="宋体"/>
          <w:b/>
          <w:bCs w:val="0"/>
          <w:kern w:val="0"/>
          <w:sz w:val="24"/>
          <w:szCs w:val="24"/>
          <w:highlight w:val="none"/>
        </w:rPr>
        <w:t>CMA或CNAS</w:t>
      </w:r>
      <w:r>
        <w:rPr>
          <w:rFonts w:hint="eastAsia" w:ascii="宋体" w:hAnsi="宋体" w:eastAsia="宋体" w:cs="宋体"/>
          <w:b/>
          <w:bCs/>
          <w:color w:val="auto"/>
          <w:sz w:val="24"/>
          <w:szCs w:val="24"/>
          <w:highlight w:val="none"/>
        </w:rPr>
        <w:t>认可资格的证明材料复印件。供应商应在佐证材料的相关内容位置做醒目标注，以便报名审核，否则按不利于供应商进行评审</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w:t>
      </w:r>
      <w:r>
        <w:rPr>
          <w:rFonts w:ascii="宋体" w:hAnsi="宋体" w:eastAsia="宋体" w:cs="宋体"/>
          <w:b/>
          <w:bCs w:val="0"/>
          <w:kern w:val="0"/>
          <w:sz w:val="24"/>
          <w:szCs w:val="24"/>
          <w:highlight w:val="none"/>
        </w:rPr>
        <w:t>)</w:t>
      </w:r>
      <w:r>
        <w:rPr>
          <w:rFonts w:hint="eastAsia" w:ascii="宋体" w:hAnsi="宋体" w:eastAsia="宋体" w:cs="宋体"/>
          <w:sz w:val="24"/>
          <w:szCs w:val="24"/>
          <w:highlight w:val="none"/>
        </w:rPr>
        <w:t>。</w:t>
      </w:r>
    </w:p>
    <w:p w14:paraId="4F3A573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9家属应用端违规人员告警：系统具备非预约人员违规进入的全过程自动人脸校验，自动告警并暂停可视通话画面，支持拓展关键字语音自动告警，减少监控人员过程监控压力；在可视通话过程中，出现违规行为时，民警可进行喊话警告或文字警告，如果通话双方未接受警告，民警可直接中止双方通话。</w:t>
      </w:r>
    </w:p>
    <w:p w14:paraId="31B14A7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10家属应用端截屏录屏告警：系统具备家属违规截屏录屏告警。在可视通话过程中，可自动监测家属截屏录屏动作，一旦家属进行截屏录屏，系统自动监测告警，向家属发出告警，同时向民警监控端发出告警。</w:t>
      </w:r>
    </w:p>
    <w:p w14:paraId="12F0230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11亲情应用端身份认证：</w:t>
      </w:r>
      <w:r>
        <w:rPr>
          <w:rFonts w:hint="eastAsia" w:ascii="宋体" w:hAnsi="宋体" w:eastAsia="宋体" w:cs="宋体"/>
          <w:sz w:val="24"/>
          <w:szCs w:val="24"/>
          <w:highlight w:val="none"/>
          <w:lang w:eastAsia="zh-CN"/>
        </w:rPr>
        <w:t>学员</w:t>
      </w:r>
      <w:r>
        <w:rPr>
          <w:rFonts w:hint="eastAsia" w:ascii="宋体" w:hAnsi="宋体" w:eastAsia="宋体" w:cs="宋体"/>
          <w:sz w:val="24"/>
          <w:szCs w:val="24"/>
          <w:highlight w:val="none"/>
        </w:rPr>
        <w:t>输入</w:t>
      </w:r>
      <w:r>
        <w:rPr>
          <w:rFonts w:hint="eastAsia" w:ascii="宋体" w:hAnsi="宋体" w:eastAsia="宋体" w:cs="宋体"/>
          <w:sz w:val="24"/>
          <w:szCs w:val="24"/>
          <w:highlight w:val="none"/>
          <w:lang w:eastAsia="zh-CN"/>
        </w:rPr>
        <w:t>学员</w:t>
      </w:r>
      <w:r>
        <w:rPr>
          <w:rFonts w:hint="eastAsia" w:ascii="宋体" w:hAnsi="宋体" w:eastAsia="宋体" w:cs="宋体"/>
          <w:sz w:val="24"/>
          <w:szCs w:val="24"/>
          <w:highlight w:val="none"/>
        </w:rPr>
        <w:t>编码或身份证号，身份验证通过后，系统自动识别</w:t>
      </w:r>
      <w:r>
        <w:rPr>
          <w:rFonts w:hint="eastAsia" w:ascii="宋体" w:hAnsi="宋体" w:eastAsia="宋体" w:cs="宋体"/>
          <w:sz w:val="24"/>
          <w:szCs w:val="24"/>
          <w:highlight w:val="none"/>
          <w:lang w:eastAsia="zh-CN"/>
        </w:rPr>
        <w:t>学员</w:t>
      </w:r>
      <w:r>
        <w:rPr>
          <w:rFonts w:hint="eastAsia" w:ascii="宋体" w:hAnsi="宋体" w:eastAsia="宋体" w:cs="宋体"/>
          <w:sz w:val="24"/>
          <w:szCs w:val="24"/>
          <w:highlight w:val="none"/>
        </w:rPr>
        <w:t>的基础信息资料、</w:t>
      </w:r>
      <w:r>
        <w:rPr>
          <w:rFonts w:hint="eastAsia" w:ascii="宋体" w:hAnsi="宋体" w:eastAsia="宋体" w:cs="宋体"/>
          <w:sz w:val="24"/>
          <w:szCs w:val="24"/>
          <w:highlight w:val="none"/>
          <w:lang w:eastAsia="zh-CN"/>
        </w:rPr>
        <w:t>学员</w:t>
      </w:r>
      <w:r>
        <w:rPr>
          <w:rFonts w:hint="eastAsia" w:ascii="宋体" w:hAnsi="宋体" w:eastAsia="宋体" w:cs="宋体"/>
          <w:sz w:val="24"/>
          <w:szCs w:val="24"/>
          <w:highlight w:val="none"/>
        </w:rPr>
        <w:t>监管等级等信息即可直接进入可视通话，无需系统登录。</w:t>
      </w:r>
    </w:p>
    <w:p w14:paraId="19FFEFC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12亲情应用端语音通话和视频通话：终端应具备常规亲情语音通话模式及可视通话模式，亲情电话拨打过程中，系统全程自动录音录像；具备通话剩余时间提醒、音量调节、挂机等功能；可视通话最后1分钟，系统自动提醒并倒计时。</w:t>
      </w:r>
    </w:p>
    <w:p w14:paraId="6849250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13民警监控应用端预约看板：为提升通话工作效率，减轻民警工作压力，监控终端应具备预约看板功能，显示当前预约任务信息、预约审批状态、家属预约确认信息，以提前有效安排对应可视通话</w:t>
      </w:r>
      <w:r>
        <w:rPr>
          <w:rFonts w:hint="eastAsia" w:ascii="宋体" w:hAnsi="宋体" w:eastAsia="宋体" w:cs="宋体"/>
          <w:sz w:val="24"/>
          <w:szCs w:val="24"/>
          <w:highlight w:val="none"/>
          <w:lang w:eastAsia="zh-CN"/>
        </w:rPr>
        <w:t>；</w:t>
      </w:r>
      <w:r>
        <w:rPr>
          <w:rFonts w:hint="eastAsia" w:ascii="宋体" w:hAnsi="宋体" w:eastAsia="宋体" w:cs="宋体"/>
          <w:b/>
          <w:bCs w:val="0"/>
          <w:kern w:val="0"/>
          <w:sz w:val="24"/>
          <w:szCs w:val="24"/>
          <w:highlight w:val="none"/>
        </w:rPr>
        <w:t>（供应商须</w:t>
      </w:r>
      <w:r>
        <w:rPr>
          <w:rFonts w:hint="eastAsia" w:ascii="宋体" w:hAnsi="宋体" w:eastAsia="宋体" w:cs="宋体"/>
          <w:b/>
          <w:bCs/>
          <w:sz w:val="24"/>
          <w:highlight w:val="none"/>
        </w:rPr>
        <w:t>在响应文件中</w:t>
      </w:r>
      <w:r>
        <w:rPr>
          <w:rFonts w:hint="eastAsia" w:ascii="宋体" w:hAnsi="宋体" w:eastAsia="宋体" w:cs="宋体"/>
          <w:b/>
          <w:bCs w:val="0"/>
          <w:kern w:val="0"/>
          <w:sz w:val="24"/>
          <w:szCs w:val="24"/>
          <w:highlight w:val="none"/>
        </w:rPr>
        <w:t>提供所投产品具有</w:t>
      </w:r>
      <w:r>
        <w:rPr>
          <w:rFonts w:ascii="宋体" w:hAnsi="宋体" w:eastAsia="宋体" w:cs="宋体"/>
          <w:b/>
          <w:bCs w:val="0"/>
          <w:kern w:val="0"/>
          <w:sz w:val="24"/>
          <w:szCs w:val="24"/>
          <w:highlight w:val="none"/>
        </w:rPr>
        <w:t>CMA或CNAS认证标识的检测</w:t>
      </w:r>
      <w:r>
        <w:rPr>
          <w:rFonts w:hint="eastAsia" w:ascii="宋体" w:hAnsi="宋体" w:eastAsia="宋体" w:cs="宋体"/>
          <w:b/>
          <w:bCs w:val="0"/>
          <w:kern w:val="0"/>
          <w:sz w:val="24"/>
          <w:szCs w:val="24"/>
          <w:highlight w:val="none"/>
          <w:lang w:eastAsia="zh-CN"/>
        </w:rPr>
        <w:t>（验）</w:t>
      </w:r>
      <w:r>
        <w:rPr>
          <w:rFonts w:ascii="宋体" w:hAnsi="宋体" w:eastAsia="宋体" w:cs="宋体"/>
          <w:b/>
          <w:bCs w:val="0"/>
          <w:kern w:val="0"/>
          <w:sz w:val="24"/>
          <w:szCs w:val="24"/>
          <w:highlight w:val="none"/>
        </w:rPr>
        <w:t>机构出具的有效检测</w:t>
      </w:r>
      <w:r>
        <w:rPr>
          <w:rFonts w:hint="eastAsia" w:ascii="宋体" w:hAnsi="宋体" w:eastAsia="宋体" w:cs="宋体"/>
          <w:b/>
          <w:bCs w:val="0"/>
          <w:kern w:val="0"/>
          <w:sz w:val="24"/>
          <w:szCs w:val="24"/>
          <w:highlight w:val="none"/>
          <w:lang w:eastAsia="zh-CN"/>
        </w:rPr>
        <w:t>（验）</w:t>
      </w:r>
      <w:r>
        <w:rPr>
          <w:rFonts w:ascii="宋体" w:hAnsi="宋体" w:eastAsia="宋体" w:cs="宋体"/>
          <w:b/>
          <w:bCs w:val="0"/>
          <w:kern w:val="0"/>
          <w:sz w:val="24"/>
          <w:szCs w:val="24"/>
          <w:highlight w:val="none"/>
        </w:rPr>
        <w:t>报告复印件</w:t>
      </w:r>
      <w:r>
        <w:rPr>
          <w:rFonts w:hint="eastAsia" w:ascii="宋体" w:hAnsi="宋体" w:eastAsia="宋体" w:cs="宋体"/>
          <w:b/>
          <w:bCs w:val="0"/>
          <w:kern w:val="0"/>
          <w:sz w:val="24"/>
          <w:szCs w:val="24"/>
          <w:highlight w:val="none"/>
          <w:lang w:eastAsia="zh-CN"/>
        </w:rPr>
        <w:t>，未提供的</w:t>
      </w:r>
      <w:r>
        <w:rPr>
          <w:rFonts w:hint="eastAsia" w:ascii="宋体" w:hAnsi="宋体" w:eastAsia="宋体" w:cs="宋体"/>
          <w:b/>
          <w:bCs/>
          <w:sz w:val="24"/>
          <w:highlight w:val="none"/>
        </w:rPr>
        <w:t>按无效响应处理</w:t>
      </w:r>
      <w:r>
        <w:rPr>
          <w:rFonts w:hint="eastAsia" w:ascii="宋体" w:hAnsi="宋体" w:cs="宋体"/>
          <w:b/>
          <w:bCs/>
          <w:sz w:val="24"/>
          <w:highlight w:val="none"/>
          <w:lang w:eastAsia="zh-CN"/>
        </w:rPr>
        <w:t>。</w:t>
      </w:r>
      <w:r>
        <w:rPr>
          <w:rFonts w:hint="eastAsia" w:ascii="宋体" w:hAnsi="宋体" w:eastAsia="宋体" w:cs="宋体"/>
          <w:b/>
          <w:bCs/>
          <w:color w:val="auto"/>
          <w:sz w:val="24"/>
          <w:szCs w:val="24"/>
          <w:highlight w:val="none"/>
        </w:rPr>
        <w:t>【注：提供的检测</w:t>
      </w:r>
      <w:r>
        <w:rPr>
          <w:rFonts w:hint="eastAsia" w:ascii="宋体" w:hAnsi="宋体" w:eastAsia="宋体" w:cs="宋体"/>
          <w:b/>
          <w:bCs w:val="0"/>
          <w:kern w:val="0"/>
          <w:sz w:val="24"/>
          <w:szCs w:val="24"/>
          <w:highlight w:val="none"/>
          <w:lang w:eastAsia="zh-CN"/>
        </w:rPr>
        <w:t>（验）</w:t>
      </w:r>
      <w:r>
        <w:rPr>
          <w:rFonts w:hint="eastAsia" w:ascii="宋体" w:hAnsi="宋体" w:eastAsia="宋体" w:cs="宋体"/>
          <w:b/>
          <w:bCs/>
          <w:color w:val="auto"/>
          <w:sz w:val="24"/>
          <w:szCs w:val="24"/>
          <w:highlight w:val="none"/>
        </w:rPr>
        <w:t>报告应带有</w:t>
      </w:r>
      <w:r>
        <w:rPr>
          <w:rFonts w:ascii="宋体" w:hAnsi="宋体" w:eastAsia="宋体" w:cs="宋体"/>
          <w:b/>
          <w:bCs w:val="0"/>
          <w:kern w:val="0"/>
          <w:sz w:val="24"/>
          <w:szCs w:val="24"/>
          <w:highlight w:val="none"/>
        </w:rPr>
        <w:t>CMA或CNAS</w:t>
      </w:r>
      <w:r>
        <w:rPr>
          <w:rFonts w:hint="eastAsia" w:ascii="宋体" w:hAnsi="宋体" w:eastAsia="宋体" w:cs="宋体"/>
          <w:b/>
          <w:bCs/>
          <w:color w:val="auto"/>
          <w:sz w:val="24"/>
          <w:szCs w:val="24"/>
          <w:highlight w:val="none"/>
        </w:rPr>
        <w:t>标识，否则应另行提供检测</w:t>
      </w:r>
      <w:r>
        <w:rPr>
          <w:rFonts w:hint="eastAsia" w:ascii="宋体" w:hAnsi="宋体" w:eastAsia="宋体" w:cs="宋体"/>
          <w:b/>
          <w:bCs w:val="0"/>
          <w:kern w:val="0"/>
          <w:sz w:val="24"/>
          <w:szCs w:val="24"/>
          <w:highlight w:val="none"/>
          <w:lang w:eastAsia="zh-CN"/>
        </w:rPr>
        <w:t>（验）</w:t>
      </w:r>
      <w:r>
        <w:rPr>
          <w:rFonts w:hint="eastAsia" w:ascii="宋体" w:hAnsi="宋体" w:eastAsia="宋体" w:cs="宋体"/>
          <w:b/>
          <w:bCs/>
          <w:color w:val="auto"/>
          <w:sz w:val="24"/>
          <w:szCs w:val="24"/>
          <w:highlight w:val="none"/>
        </w:rPr>
        <w:t>机构具备</w:t>
      </w:r>
      <w:r>
        <w:rPr>
          <w:rFonts w:ascii="宋体" w:hAnsi="宋体" w:eastAsia="宋体" w:cs="宋体"/>
          <w:b/>
          <w:bCs w:val="0"/>
          <w:kern w:val="0"/>
          <w:sz w:val="24"/>
          <w:szCs w:val="24"/>
          <w:highlight w:val="none"/>
        </w:rPr>
        <w:t>CMA或CNAS</w:t>
      </w:r>
      <w:r>
        <w:rPr>
          <w:rFonts w:hint="eastAsia" w:ascii="宋体" w:hAnsi="宋体" w:eastAsia="宋体" w:cs="宋体"/>
          <w:b/>
          <w:bCs/>
          <w:color w:val="auto"/>
          <w:sz w:val="24"/>
          <w:szCs w:val="24"/>
          <w:highlight w:val="none"/>
        </w:rPr>
        <w:t>认可资格的证明材料复印件。供应商应在佐证材料的相关内容位置做醒目标注，以便报名审核，否则按不利于供应商进行评审</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w:t>
      </w:r>
      <w:r>
        <w:rPr>
          <w:rFonts w:ascii="宋体" w:hAnsi="宋体" w:eastAsia="宋体" w:cs="宋体"/>
          <w:b/>
          <w:bCs w:val="0"/>
          <w:kern w:val="0"/>
          <w:sz w:val="24"/>
          <w:szCs w:val="24"/>
          <w:highlight w:val="none"/>
        </w:rPr>
        <w:t>)</w:t>
      </w:r>
      <w:r>
        <w:rPr>
          <w:rFonts w:hint="eastAsia" w:ascii="宋体" w:hAnsi="宋体" w:eastAsia="宋体" w:cs="宋体"/>
          <w:sz w:val="24"/>
          <w:szCs w:val="24"/>
          <w:highlight w:val="none"/>
        </w:rPr>
        <w:t>。</w:t>
      </w:r>
    </w:p>
    <w:p w14:paraId="2EA69CB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14民警监控应用端预约发起：系统应具备监内预约发起功能。</w:t>
      </w:r>
    </w:p>
    <w:p w14:paraId="5451AD93">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提前预约审批。即：分监区发起→监区审核→业务科室审批，审批内容包括拨打对象和可拨打有效期，拨打有效期可由业务科室在后台直接（批量）设置或修改。审批过后，通过审批的</w:t>
      </w:r>
      <w:r>
        <w:rPr>
          <w:rFonts w:hint="eastAsia" w:ascii="宋体" w:hAnsi="宋体" w:eastAsia="宋体" w:cs="宋体"/>
          <w:sz w:val="24"/>
          <w:szCs w:val="24"/>
          <w:highlight w:val="none"/>
          <w:lang w:eastAsia="zh-CN"/>
        </w:rPr>
        <w:t>学员</w:t>
      </w:r>
      <w:r>
        <w:rPr>
          <w:rFonts w:hint="eastAsia" w:ascii="宋体" w:hAnsi="宋体" w:eastAsia="宋体" w:cs="宋体"/>
          <w:sz w:val="24"/>
          <w:szCs w:val="24"/>
          <w:highlight w:val="none"/>
        </w:rPr>
        <w:t>在可拨打时间段，预约拨打动作由分监区直接发起，不需要再多级审批。</w:t>
      </w:r>
    </w:p>
    <w:p w14:paraId="14E668F2">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（2）发起通话预约。民警可以通过监控终端选定监区、分监区，单独或批量选择通过预约审批的</w:t>
      </w:r>
      <w:r>
        <w:rPr>
          <w:rFonts w:hint="eastAsia" w:ascii="宋体" w:hAnsi="宋体" w:eastAsia="宋体" w:cs="宋体"/>
          <w:sz w:val="24"/>
          <w:szCs w:val="24"/>
          <w:highlight w:val="none"/>
          <w:lang w:eastAsia="zh-CN"/>
        </w:rPr>
        <w:t>学员</w:t>
      </w:r>
      <w:r>
        <w:rPr>
          <w:rFonts w:hint="eastAsia" w:ascii="宋体" w:hAnsi="宋体" w:eastAsia="宋体" w:cs="宋体"/>
          <w:sz w:val="24"/>
          <w:szCs w:val="24"/>
          <w:highlight w:val="none"/>
        </w:rPr>
        <w:t>，指定预约日期、预约时间段、指定家属进行通话预约发起，帮助</w:t>
      </w:r>
      <w:r>
        <w:rPr>
          <w:rFonts w:hint="eastAsia" w:ascii="宋体" w:hAnsi="宋体" w:eastAsia="宋体" w:cs="宋体"/>
          <w:sz w:val="24"/>
          <w:szCs w:val="24"/>
          <w:highlight w:val="none"/>
          <w:lang w:eastAsia="zh-CN"/>
        </w:rPr>
        <w:t>学员</w:t>
      </w:r>
      <w:r>
        <w:rPr>
          <w:rFonts w:hint="eastAsia" w:ascii="宋体" w:hAnsi="宋体" w:eastAsia="宋体" w:cs="宋体"/>
          <w:sz w:val="24"/>
          <w:szCs w:val="24"/>
          <w:highlight w:val="none"/>
        </w:rPr>
        <w:t>预约创建可视通话，系统应能自动通过短信通知家属。未在预约审批通过范围的</w:t>
      </w:r>
      <w:r>
        <w:rPr>
          <w:rFonts w:hint="eastAsia" w:ascii="宋体" w:hAnsi="宋体" w:eastAsia="宋体" w:cs="宋体"/>
          <w:sz w:val="24"/>
          <w:szCs w:val="24"/>
          <w:highlight w:val="none"/>
          <w:lang w:eastAsia="zh-CN"/>
        </w:rPr>
        <w:t>学员</w:t>
      </w:r>
      <w:r>
        <w:rPr>
          <w:rFonts w:hint="eastAsia" w:ascii="宋体" w:hAnsi="宋体" w:eastAsia="宋体" w:cs="宋体"/>
          <w:sz w:val="24"/>
          <w:szCs w:val="24"/>
          <w:highlight w:val="none"/>
        </w:rPr>
        <w:t>和有效拨打时间内无法选择。</w:t>
      </w:r>
    </w:p>
    <w:p w14:paraId="5538D7C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15民警监控应用端监视/监听和插话：值班民警可通过监控终端对</w:t>
      </w:r>
      <w:r>
        <w:rPr>
          <w:rFonts w:hint="eastAsia" w:ascii="宋体" w:hAnsi="宋体" w:eastAsia="宋体" w:cs="宋体"/>
          <w:sz w:val="24"/>
          <w:szCs w:val="24"/>
          <w:highlight w:val="none"/>
          <w:lang w:eastAsia="zh-CN"/>
        </w:rPr>
        <w:t>学员</w:t>
      </w:r>
      <w:r>
        <w:rPr>
          <w:rFonts w:hint="eastAsia" w:ascii="宋体" w:hAnsi="宋体" w:eastAsia="宋体" w:cs="宋体"/>
          <w:sz w:val="24"/>
          <w:szCs w:val="24"/>
          <w:highlight w:val="none"/>
        </w:rPr>
        <w:t>可视通话过程进行实时监视监听，系统具备非预约人员违规进入的全过程自动人脸校验，自动告警并暂停可视通话画面。通话过程中，现场值班民警可以通过监控终端话机插话，实现与</w:t>
      </w:r>
      <w:r>
        <w:rPr>
          <w:rFonts w:hint="eastAsia" w:ascii="宋体" w:hAnsi="宋体" w:eastAsia="宋体" w:cs="宋体"/>
          <w:sz w:val="24"/>
          <w:szCs w:val="24"/>
          <w:highlight w:val="none"/>
          <w:lang w:eastAsia="zh-CN"/>
        </w:rPr>
        <w:t>学员</w:t>
      </w:r>
      <w:r>
        <w:rPr>
          <w:rFonts w:hint="eastAsia" w:ascii="宋体" w:hAnsi="宋体" w:eastAsia="宋体" w:cs="宋体"/>
          <w:sz w:val="24"/>
          <w:szCs w:val="24"/>
          <w:highlight w:val="none"/>
        </w:rPr>
        <w:t>、家属的三方通话。</w:t>
      </w:r>
    </w:p>
    <w:p w14:paraId="08C4DA0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16民警监控应用端语音模式切换和强拆：通话过程中，现场值班民警发现异常情况下，可以通过监控终端进行语音模式切换，切换后监管人员与家属只能进行语音通话。通话过程中，现场值班民警发现异常情况下，可以通过监控终端进行强拆，终止监管人员与家属的通话。</w:t>
      </w:r>
    </w:p>
    <w:p w14:paraId="6C31C12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17民警监控应用端录音录像回放：可回放（按权限）已拨打过的亲情电话录音录像，作为存证依据，做到溯源可查。</w:t>
      </w:r>
    </w:p>
    <w:p w14:paraId="3480D62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18民警监控应用端截屏录屏告警和文字警告：系统具备家属违规截屏录屏告警。在可视通话过程中，一旦家属进行截屏录屏，系统自动监测告警，民警监控端显示截屏录屏告警。系统具备文字告警信息发送，具备配置文字信息发送及临时信息输入、发送功能。</w:t>
      </w:r>
    </w:p>
    <w:p w14:paraId="4A1D84B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19后端管理平台系统管理：系统具备登录、修改密码、角色管理、用户管理、日志管理等功能。</w:t>
      </w:r>
    </w:p>
    <w:p w14:paraId="160168D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20后端管理平台待办任务：系统登录后默认显示待办任务页面，可根据不同权限显示不同用户的催办、督办、收文、新消息、总预约数、待确认通话数量、待审核通话数量、待审核家属数量，新增陪同人员绑定数量，点击待确认通话、待审核通话、待审核家属，新增陪同人员绑定，会对应自动跳转待审核页面，可审核审批。</w:t>
      </w:r>
    </w:p>
    <w:p w14:paraId="14470F2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21后端管理平台</w:t>
      </w:r>
      <w:r>
        <w:rPr>
          <w:rFonts w:hint="eastAsia" w:ascii="宋体" w:hAnsi="宋体" w:eastAsia="宋体" w:cs="宋体"/>
          <w:sz w:val="24"/>
          <w:szCs w:val="24"/>
          <w:highlight w:val="none"/>
          <w:lang w:eastAsia="zh-CN"/>
        </w:rPr>
        <w:t>学员</w:t>
      </w:r>
      <w:r>
        <w:rPr>
          <w:rFonts w:hint="eastAsia" w:ascii="宋体" w:hAnsi="宋体" w:eastAsia="宋体" w:cs="宋体"/>
          <w:sz w:val="24"/>
          <w:szCs w:val="24"/>
          <w:highlight w:val="none"/>
        </w:rPr>
        <w:t>管理：新建、修改和删除</w:t>
      </w:r>
      <w:r>
        <w:rPr>
          <w:rFonts w:hint="eastAsia" w:ascii="宋体" w:hAnsi="宋体" w:eastAsia="宋体" w:cs="宋体"/>
          <w:sz w:val="24"/>
          <w:szCs w:val="24"/>
          <w:highlight w:val="none"/>
          <w:lang w:eastAsia="zh-CN"/>
        </w:rPr>
        <w:t>学员</w:t>
      </w:r>
      <w:r>
        <w:rPr>
          <w:rFonts w:hint="eastAsia" w:ascii="宋体" w:hAnsi="宋体" w:eastAsia="宋体" w:cs="宋体"/>
          <w:sz w:val="24"/>
          <w:szCs w:val="24"/>
          <w:highlight w:val="none"/>
        </w:rPr>
        <w:t>信息，</w:t>
      </w:r>
      <w:r>
        <w:rPr>
          <w:rFonts w:hint="eastAsia" w:ascii="宋体" w:hAnsi="宋体" w:eastAsia="宋体" w:cs="宋体"/>
          <w:sz w:val="24"/>
          <w:szCs w:val="24"/>
          <w:highlight w:val="none"/>
          <w:lang w:eastAsia="zh-CN"/>
        </w:rPr>
        <w:t>学员</w:t>
      </w:r>
      <w:r>
        <w:rPr>
          <w:rFonts w:hint="eastAsia" w:ascii="宋体" w:hAnsi="宋体" w:eastAsia="宋体" w:cs="宋体"/>
          <w:sz w:val="24"/>
          <w:szCs w:val="24"/>
          <w:highlight w:val="none"/>
        </w:rPr>
        <w:t>信息包括：编号、姓名、身份证号、所在监狱、监区号、分监区号、管制级别、重点监控标志、备注信息；可根据编号、姓名、身份证号、所在监狱、监区号、分监区号、管制级别、重点监控标志进行查询；可以对</w:t>
      </w:r>
      <w:r>
        <w:rPr>
          <w:rFonts w:hint="eastAsia" w:ascii="宋体" w:hAnsi="宋体" w:eastAsia="宋体" w:cs="宋体"/>
          <w:sz w:val="24"/>
          <w:szCs w:val="24"/>
          <w:highlight w:val="none"/>
          <w:lang w:eastAsia="zh-CN"/>
        </w:rPr>
        <w:t>学员</w:t>
      </w:r>
      <w:r>
        <w:rPr>
          <w:rFonts w:hint="eastAsia" w:ascii="宋体" w:hAnsi="宋体" w:eastAsia="宋体" w:cs="宋体"/>
          <w:sz w:val="24"/>
          <w:szCs w:val="24"/>
          <w:highlight w:val="none"/>
        </w:rPr>
        <w:t>监区、分监区进行调整。</w:t>
      </w:r>
    </w:p>
    <w:p w14:paraId="223771D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22后端管理平台家属管理、待审核犯属关系、审核记录：查询注册的家属信息，查看已注册的家属详细信息。查询和审核待犯属关系，可根据系统信息，审核通过或不通过，审核信息可通过短信通知家属用户。查询已审核犯属关系信息，查看详细犯属关系信息。</w:t>
      </w:r>
    </w:p>
    <w:p w14:paraId="518FF32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23后端管理平台预约时间配置和监区预约：按监区、分监区、通话日、通话开始时间（上午、下午）、通话时长、生效月份和循环周期新增、编辑、删除、查询可预约时段信息。系统具备批量预约操作，民警可以通过选定监区、分监区，罗列出监区下所有</w:t>
      </w:r>
      <w:r>
        <w:rPr>
          <w:rFonts w:hint="eastAsia" w:ascii="宋体" w:hAnsi="宋体" w:eastAsia="宋体" w:cs="宋体"/>
          <w:sz w:val="24"/>
          <w:szCs w:val="24"/>
          <w:highlight w:val="none"/>
          <w:lang w:eastAsia="zh-CN"/>
        </w:rPr>
        <w:t>学员</w:t>
      </w:r>
      <w:r>
        <w:rPr>
          <w:rFonts w:hint="eastAsia" w:ascii="宋体" w:hAnsi="宋体" w:eastAsia="宋体" w:cs="宋体"/>
          <w:sz w:val="24"/>
          <w:szCs w:val="24"/>
          <w:highlight w:val="none"/>
        </w:rPr>
        <w:t>列表，批量选择</w:t>
      </w:r>
      <w:r>
        <w:rPr>
          <w:rFonts w:hint="eastAsia" w:ascii="宋体" w:hAnsi="宋体" w:eastAsia="宋体" w:cs="宋体"/>
          <w:sz w:val="24"/>
          <w:szCs w:val="24"/>
          <w:highlight w:val="none"/>
          <w:lang w:eastAsia="zh-CN"/>
        </w:rPr>
        <w:t>学员</w:t>
      </w:r>
      <w:r>
        <w:rPr>
          <w:rFonts w:hint="eastAsia" w:ascii="宋体" w:hAnsi="宋体" w:eastAsia="宋体" w:cs="宋体"/>
          <w:sz w:val="24"/>
          <w:szCs w:val="24"/>
          <w:highlight w:val="none"/>
        </w:rPr>
        <w:t>，指定预约日期、预约时间段、指定家属进行通话预约发起。针对性预约指定</w:t>
      </w:r>
      <w:r>
        <w:rPr>
          <w:rFonts w:hint="eastAsia" w:ascii="宋体" w:hAnsi="宋体" w:eastAsia="宋体" w:cs="宋体"/>
          <w:sz w:val="24"/>
          <w:szCs w:val="24"/>
          <w:highlight w:val="none"/>
          <w:lang w:eastAsia="zh-CN"/>
        </w:rPr>
        <w:t>学员</w:t>
      </w:r>
      <w:r>
        <w:rPr>
          <w:rFonts w:hint="eastAsia" w:ascii="宋体" w:hAnsi="宋体" w:eastAsia="宋体" w:cs="宋体"/>
          <w:sz w:val="24"/>
          <w:szCs w:val="24"/>
          <w:highlight w:val="none"/>
        </w:rPr>
        <w:t>或一次性预约分监区下所有</w:t>
      </w:r>
      <w:r>
        <w:rPr>
          <w:rFonts w:hint="eastAsia" w:ascii="宋体" w:hAnsi="宋体" w:eastAsia="宋体" w:cs="宋体"/>
          <w:sz w:val="24"/>
          <w:szCs w:val="24"/>
          <w:highlight w:val="none"/>
          <w:lang w:eastAsia="zh-CN"/>
        </w:rPr>
        <w:t>学员</w:t>
      </w:r>
      <w:r>
        <w:rPr>
          <w:rFonts w:hint="eastAsia" w:ascii="宋体" w:hAnsi="宋体" w:eastAsia="宋体" w:cs="宋体"/>
          <w:sz w:val="24"/>
          <w:szCs w:val="24"/>
          <w:highlight w:val="none"/>
        </w:rPr>
        <w:t>的可视通话；创建预约经过审核审批后，系统通过短信通知家属。</w:t>
      </w:r>
    </w:p>
    <w:p w14:paraId="0198664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24后端管理平台待审核预约通话和审核记录：查询和审核预约通话。查询已审核预约通话信息，查看详细预约通话信息。</w:t>
      </w:r>
    </w:p>
    <w:p w14:paraId="6F55626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25后端管理平台待确认通话、待通话和历史通话记录：查询和确认已预约待确认通话数据，可取消待确认通话任务。查询已预约已确认待通话数据，可取消待通话任务。</w:t>
      </w:r>
    </w:p>
    <w:p w14:paraId="7AA1789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26后端管理平台统计分析：具备数据统计分析，以大数据窗形式展示监所数量、平台访问人数、注册人数、在线用户数、预约人数、通话人数等数据分析管理功能。</w:t>
      </w:r>
    </w:p>
    <w:p w14:paraId="08D2A8F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27后端管理平台安全配置和非法关键字配置：具备数据传输密码加密串配置、全过程动态人脸识别阀值配置、通话预约测试开关配置、SVN开关配置、信息日志记录开关配置、异常日志记录开关配置及新建、修改和删除非法关键字词</w:t>
      </w:r>
      <w:r>
        <w:rPr>
          <w:rFonts w:hint="eastAsia" w:ascii="宋体" w:hAnsi="宋体" w:eastAsia="宋体" w:cs="宋体"/>
          <w:sz w:val="24"/>
          <w:szCs w:val="24"/>
          <w:highlight w:val="none"/>
          <w:lang w:eastAsia="zh-CN"/>
        </w:rPr>
        <w:t>；</w:t>
      </w:r>
      <w:r>
        <w:rPr>
          <w:rFonts w:hint="eastAsia" w:ascii="宋体" w:hAnsi="宋体" w:eastAsia="宋体" w:cs="宋体"/>
          <w:b/>
          <w:bCs w:val="0"/>
          <w:kern w:val="0"/>
          <w:sz w:val="24"/>
          <w:szCs w:val="24"/>
          <w:highlight w:val="none"/>
        </w:rPr>
        <w:t>（供应商须</w:t>
      </w:r>
      <w:r>
        <w:rPr>
          <w:rFonts w:hint="eastAsia" w:ascii="宋体" w:hAnsi="宋体" w:eastAsia="宋体" w:cs="宋体"/>
          <w:b/>
          <w:bCs/>
          <w:sz w:val="24"/>
          <w:highlight w:val="none"/>
        </w:rPr>
        <w:t>在响应文件中</w:t>
      </w:r>
      <w:r>
        <w:rPr>
          <w:rFonts w:hint="eastAsia" w:ascii="宋体" w:hAnsi="宋体" w:eastAsia="宋体" w:cs="宋体"/>
          <w:b/>
          <w:bCs w:val="0"/>
          <w:kern w:val="0"/>
          <w:sz w:val="24"/>
          <w:szCs w:val="24"/>
          <w:highlight w:val="none"/>
        </w:rPr>
        <w:t>提供所投产品具有</w:t>
      </w:r>
      <w:r>
        <w:rPr>
          <w:rFonts w:ascii="宋体" w:hAnsi="宋体" w:eastAsia="宋体" w:cs="宋体"/>
          <w:b/>
          <w:bCs w:val="0"/>
          <w:kern w:val="0"/>
          <w:sz w:val="24"/>
          <w:szCs w:val="24"/>
          <w:highlight w:val="none"/>
        </w:rPr>
        <w:t>CMA或CNAS认证标识的检测</w:t>
      </w:r>
      <w:r>
        <w:rPr>
          <w:rFonts w:hint="eastAsia" w:ascii="宋体" w:hAnsi="宋体" w:eastAsia="宋体" w:cs="宋体"/>
          <w:b/>
          <w:bCs w:val="0"/>
          <w:kern w:val="0"/>
          <w:sz w:val="24"/>
          <w:szCs w:val="24"/>
          <w:highlight w:val="none"/>
          <w:lang w:eastAsia="zh-CN"/>
        </w:rPr>
        <w:t>（验）</w:t>
      </w:r>
      <w:r>
        <w:rPr>
          <w:rFonts w:ascii="宋体" w:hAnsi="宋体" w:eastAsia="宋体" w:cs="宋体"/>
          <w:b/>
          <w:bCs w:val="0"/>
          <w:kern w:val="0"/>
          <w:sz w:val="24"/>
          <w:szCs w:val="24"/>
          <w:highlight w:val="none"/>
        </w:rPr>
        <w:t>机构出具的有效检测</w:t>
      </w:r>
      <w:r>
        <w:rPr>
          <w:rFonts w:hint="eastAsia" w:ascii="宋体" w:hAnsi="宋体" w:eastAsia="宋体" w:cs="宋体"/>
          <w:b/>
          <w:bCs w:val="0"/>
          <w:kern w:val="0"/>
          <w:sz w:val="24"/>
          <w:szCs w:val="24"/>
          <w:highlight w:val="none"/>
          <w:lang w:eastAsia="zh-CN"/>
        </w:rPr>
        <w:t>（验）</w:t>
      </w:r>
      <w:r>
        <w:rPr>
          <w:rFonts w:ascii="宋体" w:hAnsi="宋体" w:eastAsia="宋体" w:cs="宋体"/>
          <w:b/>
          <w:bCs w:val="0"/>
          <w:kern w:val="0"/>
          <w:sz w:val="24"/>
          <w:szCs w:val="24"/>
          <w:highlight w:val="none"/>
        </w:rPr>
        <w:t>报告复印件</w:t>
      </w:r>
      <w:r>
        <w:rPr>
          <w:rFonts w:hint="eastAsia" w:ascii="宋体" w:hAnsi="宋体" w:eastAsia="宋体" w:cs="宋体"/>
          <w:b/>
          <w:bCs w:val="0"/>
          <w:kern w:val="0"/>
          <w:sz w:val="24"/>
          <w:szCs w:val="24"/>
          <w:highlight w:val="none"/>
          <w:lang w:eastAsia="zh-CN"/>
        </w:rPr>
        <w:t>，未提供的</w:t>
      </w:r>
      <w:r>
        <w:rPr>
          <w:rFonts w:hint="eastAsia" w:ascii="宋体" w:hAnsi="宋体" w:eastAsia="宋体" w:cs="宋体"/>
          <w:b/>
          <w:bCs/>
          <w:sz w:val="24"/>
          <w:highlight w:val="none"/>
        </w:rPr>
        <w:t>按无效响应处理</w:t>
      </w:r>
      <w:r>
        <w:rPr>
          <w:rFonts w:hint="eastAsia" w:ascii="宋体" w:hAnsi="宋体" w:cs="宋体"/>
          <w:b/>
          <w:bCs/>
          <w:sz w:val="24"/>
          <w:highlight w:val="none"/>
          <w:lang w:eastAsia="zh-CN"/>
        </w:rPr>
        <w:t>。</w:t>
      </w:r>
      <w:r>
        <w:rPr>
          <w:rFonts w:hint="eastAsia" w:ascii="宋体" w:hAnsi="宋体" w:eastAsia="宋体" w:cs="宋体"/>
          <w:b/>
          <w:bCs/>
          <w:color w:val="auto"/>
          <w:sz w:val="24"/>
          <w:szCs w:val="24"/>
          <w:highlight w:val="none"/>
        </w:rPr>
        <w:t>【注：提供的检测</w:t>
      </w:r>
      <w:r>
        <w:rPr>
          <w:rFonts w:hint="eastAsia" w:ascii="宋体" w:hAnsi="宋体" w:eastAsia="宋体" w:cs="宋体"/>
          <w:b/>
          <w:bCs w:val="0"/>
          <w:kern w:val="0"/>
          <w:sz w:val="24"/>
          <w:szCs w:val="24"/>
          <w:highlight w:val="none"/>
          <w:lang w:eastAsia="zh-CN"/>
        </w:rPr>
        <w:t>（验）</w:t>
      </w:r>
      <w:r>
        <w:rPr>
          <w:rFonts w:hint="eastAsia" w:ascii="宋体" w:hAnsi="宋体" w:eastAsia="宋体" w:cs="宋体"/>
          <w:b/>
          <w:bCs/>
          <w:color w:val="auto"/>
          <w:sz w:val="24"/>
          <w:szCs w:val="24"/>
          <w:highlight w:val="none"/>
        </w:rPr>
        <w:t>报告应带有</w:t>
      </w:r>
      <w:r>
        <w:rPr>
          <w:rFonts w:ascii="宋体" w:hAnsi="宋体" w:eastAsia="宋体" w:cs="宋体"/>
          <w:b/>
          <w:bCs w:val="0"/>
          <w:kern w:val="0"/>
          <w:sz w:val="24"/>
          <w:szCs w:val="24"/>
          <w:highlight w:val="none"/>
        </w:rPr>
        <w:t>CMA或CNAS</w:t>
      </w:r>
      <w:r>
        <w:rPr>
          <w:rFonts w:hint="eastAsia" w:ascii="宋体" w:hAnsi="宋体" w:eastAsia="宋体" w:cs="宋体"/>
          <w:b/>
          <w:bCs/>
          <w:color w:val="auto"/>
          <w:sz w:val="24"/>
          <w:szCs w:val="24"/>
          <w:highlight w:val="none"/>
        </w:rPr>
        <w:t>标识，否则应另行提供检测</w:t>
      </w:r>
      <w:r>
        <w:rPr>
          <w:rFonts w:hint="eastAsia" w:ascii="宋体" w:hAnsi="宋体" w:eastAsia="宋体" w:cs="宋体"/>
          <w:b/>
          <w:bCs w:val="0"/>
          <w:kern w:val="0"/>
          <w:sz w:val="24"/>
          <w:szCs w:val="24"/>
          <w:highlight w:val="none"/>
          <w:lang w:eastAsia="zh-CN"/>
        </w:rPr>
        <w:t>（验）</w:t>
      </w:r>
      <w:r>
        <w:rPr>
          <w:rFonts w:hint="eastAsia" w:ascii="宋体" w:hAnsi="宋体" w:eastAsia="宋体" w:cs="宋体"/>
          <w:b/>
          <w:bCs/>
          <w:color w:val="auto"/>
          <w:sz w:val="24"/>
          <w:szCs w:val="24"/>
          <w:highlight w:val="none"/>
        </w:rPr>
        <w:t>机构具备</w:t>
      </w:r>
      <w:r>
        <w:rPr>
          <w:rFonts w:ascii="宋体" w:hAnsi="宋体" w:eastAsia="宋体" w:cs="宋体"/>
          <w:b/>
          <w:bCs w:val="0"/>
          <w:kern w:val="0"/>
          <w:sz w:val="24"/>
          <w:szCs w:val="24"/>
          <w:highlight w:val="none"/>
        </w:rPr>
        <w:t>CMA或CNAS</w:t>
      </w:r>
      <w:r>
        <w:rPr>
          <w:rFonts w:hint="eastAsia" w:ascii="宋体" w:hAnsi="宋体" w:eastAsia="宋体" w:cs="宋体"/>
          <w:b/>
          <w:bCs/>
          <w:color w:val="auto"/>
          <w:sz w:val="24"/>
          <w:szCs w:val="24"/>
          <w:highlight w:val="none"/>
        </w:rPr>
        <w:t>认可资格的证明材料复印件。供应商应在佐证材料的相关内容位置做醒目标注，以便报名审核，否则按不利于供应商进行评审</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w:t>
      </w:r>
      <w:r>
        <w:rPr>
          <w:rFonts w:ascii="宋体" w:hAnsi="宋体" w:eastAsia="宋体" w:cs="宋体"/>
          <w:b/>
          <w:bCs w:val="0"/>
          <w:kern w:val="0"/>
          <w:sz w:val="24"/>
          <w:szCs w:val="24"/>
          <w:highlight w:val="none"/>
        </w:rPr>
        <w:t>)</w:t>
      </w:r>
      <w:r>
        <w:rPr>
          <w:rFonts w:hint="eastAsia" w:ascii="宋体" w:hAnsi="宋体" w:eastAsia="宋体" w:cs="宋体"/>
          <w:sz w:val="24"/>
          <w:szCs w:val="24"/>
          <w:highlight w:val="none"/>
        </w:rPr>
        <w:t>。</w:t>
      </w:r>
    </w:p>
    <w:p w14:paraId="5F81FF9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28省局平台对接与数据传输：系统管理数据同步可以通过省局交换平台进行交换，可设置传输可加密、数据接口查询及交换配置等</w:t>
      </w:r>
      <w:r>
        <w:rPr>
          <w:rFonts w:hint="eastAsia" w:ascii="宋体" w:hAnsi="宋体" w:eastAsia="宋体" w:cs="宋体"/>
          <w:sz w:val="24"/>
          <w:szCs w:val="24"/>
          <w:highlight w:val="none"/>
          <w:lang w:eastAsia="zh-CN"/>
        </w:rPr>
        <w:t>；</w:t>
      </w:r>
      <w:r>
        <w:rPr>
          <w:rFonts w:hint="eastAsia" w:ascii="宋体" w:hAnsi="宋体" w:eastAsia="宋体" w:cs="宋体"/>
          <w:b/>
          <w:bCs w:val="0"/>
          <w:kern w:val="0"/>
          <w:sz w:val="24"/>
          <w:szCs w:val="24"/>
          <w:highlight w:val="none"/>
        </w:rPr>
        <w:t>（供应商须</w:t>
      </w:r>
      <w:r>
        <w:rPr>
          <w:rFonts w:hint="eastAsia" w:ascii="宋体" w:hAnsi="宋体" w:eastAsia="宋体" w:cs="宋体"/>
          <w:b/>
          <w:bCs/>
          <w:sz w:val="24"/>
          <w:highlight w:val="none"/>
        </w:rPr>
        <w:t>在响应文件中</w:t>
      </w:r>
      <w:r>
        <w:rPr>
          <w:rFonts w:hint="eastAsia" w:ascii="宋体" w:hAnsi="宋体" w:eastAsia="宋体" w:cs="宋体"/>
          <w:b/>
          <w:bCs w:val="0"/>
          <w:kern w:val="0"/>
          <w:sz w:val="24"/>
          <w:szCs w:val="24"/>
          <w:highlight w:val="none"/>
        </w:rPr>
        <w:t>提供所投产品具有</w:t>
      </w:r>
      <w:r>
        <w:rPr>
          <w:rFonts w:ascii="宋体" w:hAnsi="宋体" w:eastAsia="宋体" w:cs="宋体"/>
          <w:b/>
          <w:bCs w:val="0"/>
          <w:kern w:val="0"/>
          <w:sz w:val="24"/>
          <w:szCs w:val="24"/>
          <w:highlight w:val="none"/>
        </w:rPr>
        <w:t>CMA或CNAS认证标识的检测</w:t>
      </w:r>
      <w:r>
        <w:rPr>
          <w:rFonts w:hint="eastAsia" w:ascii="宋体" w:hAnsi="宋体" w:eastAsia="宋体" w:cs="宋体"/>
          <w:b/>
          <w:bCs w:val="0"/>
          <w:kern w:val="0"/>
          <w:sz w:val="24"/>
          <w:szCs w:val="24"/>
          <w:highlight w:val="none"/>
          <w:lang w:eastAsia="zh-CN"/>
        </w:rPr>
        <w:t>（验）</w:t>
      </w:r>
      <w:r>
        <w:rPr>
          <w:rFonts w:ascii="宋体" w:hAnsi="宋体" w:eastAsia="宋体" w:cs="宋体"/>
          <w:b/>
          <w:bCs w:val="0"/>
          <w:kern w:val="0"/>
          <w:sz w:val="24"/>
          <w:szCs w:val="24"/>
          <w:highlight w:val="none"/>
        </w:rPr>
        <w:t>机构出具的有效检测</w:t>
      </w:r>
      <w:r>
        <w:rPr>
          <w:rFonts w:hint="eastAsia" w:ascii="宋体" w:hAnsi="宋体" w:eastAsia="宋体" w:cs="宋体"/>
          <w:b/>
          <w:bCs w:val="0"/>
          <w:kern w:val="0"/>
          <w:sz w:val="24"/>
          <w:szCs w:val="24"/>
          <w:highlight w:val="none"/>
          <w:lang w:eastAsia="zh-CN"/>
        </w:rPr>
        <w:t>（验）</w:t>
      </w:r>
      <w:r>
        <w:rPr>
          <w:rFonts w:ascii="宋体" w:hAnsi="宋体" w:eastAsia="宋体" w:cs="宋体"/>
          <w:b/>
          <w:bCs w:val="0"/>
          <w:kern w:val="0"/>
          <w:sz w:val="24"/>
          <w:szCs w:val="24"/>
          <w:highlight w:val="none"/>
        </w:rPr>
        <w:t>报告复印件</w:t>
      </w:r>
      <w:r>
        <w:rPr>
          <w:rFonts w:hint="eastAsia" w:ascii="宋体" w:hAnsi="宋体" w:eastAsia="宋体" w:cs="宋体"/>
          <w:b/>
          <w:bCs w:val="0"/>
          <w:kern w:val="0"/>
          <w:sz w:val="24"/>
          <w:szCs w:val="24"/>
          <w:highlight w:val="none"/>
          <w:lang w:eastAsia="zh-CN"/>
        </w:rPr>
        <w:t>，未提供的</w:t>
      </w:r>
      <w:r>
        <w:rPr>
          <w:rFonts w:hint="eastAsia" w:ascii="宋体" w:hAnsi="宋体" w:eastAsia="宋体" w:cs="宋体"/>
          <w:b/>
          <w:bCs/>
          <w:sz w:val="24"/>
          <w:highlight w:val="none"/>
        </w:rPr>
        <w:t>按无效响应处理</w:t>
      </w:r>
      <w:r>
        <w:rPr>
          <w:rFonts w:hint="eastAsia" w:ascii="宋体" w:hAnsi="宋体" w:cs="宋体"/>
          <w:b/>
          <w:bCs/>
          <w:sz w:val="24"/>
          <w:highlight w:val="none"/>
          <w:lang w:eastAsia="zh-CN"/>
        </w:rPr>
        <w:t>。</w:t>
      </w:r>
      <w:r>
        <w:rPr>
          <w:rFonts w:hint="eastAsia" w:ascii="宋体" w:hAnsi="宋体" w:eastAsia="宋体" w:cs="宋体"/>
          <w:b/>
          <w:bCs/>
          <w:color w:val="auto"/>
          <w:sz w:val="24"/>
          <w:szCs w:val="24"/>
          <w:highlight w:val="none"/>
        </w:rPr>
        <w:t>【注：提供的检测</w:t>
      </w:r>
      <w:r>
        <w:rPr>
          <w:rFonts w:hint="eastAsia" w:ascii="宋体" w:hAnsi="宋体" w:eastAsia="宋体" w:cs="宋体"/>
          <w:b/>
          <w:bCs w:val="0"/>
          <w:kern w:val="0"/>
          <w:sz w:val="24"/>
          <w:szCs w:val="24"/>
          <w:highlight w:val="none"/>
          <w:lang w:eastAsia="zh-CN"/>
        </w:rPr>
        <w:t>（验）</w:t>
      </w:r>
      <w:r>
        <w:rPr>
          <w:rFonts w:hint="eastAsia" w:ascii="宋体" w:hAnsi="宋体" w:eastAsia="宋体" w:cs="宋体"/>
          <w:b/>
          <w:bCs/>
          <w:color w:val="auto"/>
          <w:sz w:val="24"/>
          <w:szCs w:val="24"/>
          <w:highlight w:val="none"/>
        </w:rPr>
        <w:t>报告应带有</w:t>
      </w:r>
      <w:r>
        <w:rPr>
          <w:rFonts w:ascii="宋体" w:hAnsi="宋体" w:eastAsia="宋体" w:cs="宋体"/>
          <w:b/>
          <w:bCs w:val="0"/>
          <w:kern w:val="0"/>
          <w:sz w:val="24"/>
          <w:szCs w:val="24"/>
          <w:highlight w:val="none"/>
        </w:rPr>
        <w:t>CMA或CNAS</w:t>
      </w:r>
      <w:r>
        <w:rPr>
          <w:rFonts w:hint="eastAsia" w:ascii="宋体" w:hAnsi="宋体" w:eastAsia="宋体" w:cs="宋体"/>
          <w:b/>
          <w:bCs/>
          <w:color w:val="auto"/>
          <w:sz w:val="24"/>
          <w:szCs w:val="24"/>
          <w:highlight w:val="none"/>
        </w:rPr>
        <w:t>标识，否则应另行提供检测</w:t>
      </w:r>
      <w:r>
        <w:rPr>
          <w:rFonts w:hint="eastAsia" w:ascii="宋体" w:hAnsi="宋体" w:eastAsia="宋体" w:cs="宋体"/>
          <w:b/>
          <w:bCs w:val="0"/>
          <w:kern w:val="0"/>
          <w:sz w:val="24"/>
          <w:szCs w:val="24"/>
          <w:highlight w:val="none"/>
          <w:lang w:eastAsia="zh-CN"/>
        </w:rPr>
        <w:t>（验）</w:t>
      </w:r>
      <w:r>
        <w:rPr>
          <w:rFonts w:hint="eastAsia" w:ascii="宋体" w:hAnsi="宋体" w:eastAsia="宋体" w:cs="宋体"/>
          <w:b/>
          <w:bCs/>
          <w:color w:val="auto"/>
          <w:sz w:val="24"/>
          <w:szCs w:val="24"/>
          <w:highlight w:val="none"/>
        </w:rPr>
        <w:t>机构具备</w:t>
      </w:r>
      <w:r>
        <w:rPr>
          <w:rFonts w:ascii="宋体" w:hAnsi="宋体" w:eastAsia="宋体" w:cs="宋体"/>
          <w:b/>
          <w:bCs w:val="0"/>
          <w:kern w:val="0"/>
          <w:sz w:val="24"/>
          <w:szCs w:val="24"/>
          <w:highlight w:val="none"/>
        </w:rPr>
        <w:t>CMA或CNAS</w:t>
      </w:r>
      <w:r>
        <w:rPr>
          <w:rFonts w:hint="eastAsia" w:ascii="宋体" w:hAnsi="宋体" w:eastAsia="宋体" w:cs="宋体"/>
          <w:b/>
          <w:bCs/>
          <w:color w:val="auto"/>
          <w:sz w:val="24"/>
          <w:szCs w:val="24"/>
          <w:highlight w:val="none"/>
        </w:rPr>
        <w:t>认可资格的证明材料复印件。供应商应在佐证材料的相关内容位置做醒目标注，以便报名审核，否则按不利于供应商进行评审</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w:t>
      </w:r>
      <w:r>
        <w:rPr>
          <w:rFonts w:ascii="宋体" w:hAnsi="宋体" w:eastAsia="宋体" w:cs="宋体"/>
          <w:b/>
          <w:bCs w:val="0"/>
          <w:kern w:val="0"/>
          <w:sz w:val="24"/>
          <w:szCs w:val="24"/>
          <w:highlight w:val="none"/>
        </w:rPr>
        <w:t>)</w:t>
      </w:r>
      <w:r>
        <w:rPr>
          <w:rFonts w:hint="eastAsia" w:ascii="宋体" w:hAnsi="宋体" w:eastAsia="宋体" w:cs="宋体"/>
          <w:sz w:val="24"/>
          <w:szCs w:val="24"/>
          <w:highlight w:val="none"/>
        </w:rPr>
        <w:t>。</w:t>
      </w:r>
    </w:p>
    <w:p w14:paraId="29942ED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29系统应提供不少于12个月的音频录播本地存储，包括如下：</w:t>
      </w:r>
    </w:p>
    <w:p w14:paraId="3E4ED4E2">
      <w:pPr>
        <w:keepNext w:val="0"/>
        <w:keepLines w:val="0"/>
        <w:pageBreakBefore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音频录播通过省局平台及监狱内网传输。</w:t>
      </w:r>
    </w:p>
    <w:p w14:paraId="331BAD9D">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在莆田监狱内网设立本地服务器，存储容量不低于64T，本地存储按权限查看；回放要求实现按单位（分监区、监区）权限及设置期限内回放，例如某分监区只开放本分监区近2个月的回放；特定账户才可以有下载功能；任何帐号不得有修改、删除音视频功能。</w:t>
      </w:r>
    </w:p>
    <w:p w14:paraId="4F5EDC3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基础支撑服务要求</w:t>
      </w:r>
    </w:p>
    <w:p w14:paraId="4D452AF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供应商须</w:t>
      </w:r>
      <w:r>
        <w:rPr>
          <w:rFonts w:hint="eastAsia" w:ascii="宋体" w:hAnsi="宋体" w:eastAsia="宋体" w:cs="宋体"/>
          <w:sz w:val="24"/>
          <w:szCs w:val="24"/>
          <w:highlight w:val="none"/>
        </w:rPr>
        <w:t>提供12个月的云平台版音视频流媒体引擎，满足本项目远程帮教亲情可视通话所需的音视频流媒体引擎能力；平台通过调用视音频媒体云服务接口，提供不同的视频标准源格式、码率、帧频下矩形图像的有效编码，建立远程帮教亲情可视通话的视音频服务通道。</w:t>
      </w:r>
    </w:p>
    <w:p w14:paraId="30BC177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2云平台版音视频流媒体引擎支持云部署。</w:t>
      </w:r>
    </w:p>
    <w:p w14:paraId="099705C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3云平台版音视频流媒体引擎必须是正规版权且无版权纠纷产品。</w:t>
      </w:r>
    </w:p>
    <w:p w14:paraId="37DAC5F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供应商须</w:t>
      </w:r>
      <w:r>
        <w:rPr>
          <w:rFonts w:hint="eastAsia" w:ascii="宋体" w:hAnsi="宋体" w:eastAsia="宋体" w:cs="宋体"/>
          <w:sz w:val="24"/>
          <w:szCs w:val="24"/>
          <w:highlight w:val="none"/>
        </w:rPr>
        <w:t>提供12个月的云平台版实名认证服务系统，满足本项目可视通话所需的家属身份信息公安可靠实名认证能力，包括身份证OCR识别、活体检测及人脸比对能力。</w:t>
      </w:r>
    </w:p>
    <w:p w14:paraId="23804D6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供应商须</w:t>
      </w:r>
      <w:r>
        <w:rPr>
          <w:rFonts w:hint="eastAsia" w:ascii="宋体" w:hAnsi="宋体" w:eastAsia="宋体" w:cs="宋体"/>
          <w:sz w:val="24"/>
          <w:szCs w:val="24"/>
          <w:highlight w:val="none"/>
        </w:rPr>
        <w:t>提供12个月的云平台版人脸识别服务系统，满足本项目可视通话所需的人脸识别能力；系统通过调用全过程人脸动态识别能力接口，针对动态视频实时识别，深度优化，具备多模型特征实时并发检测及高并发能力。</w:t>
      </w:r>
    </w:p>
    <w:p w14:paraId="1484DC0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供应商须</w:t>
      </w:r>
      <w:r>
        <w:rPr>
          <w:rFonts w:hint="eastAsia" w:ascii="宋体" w:hAnsi="宋体" w:eastAsia="宋体" w:cs="宋体"/>
          <w:sz w:val="24"/>
          <w:szCs w:val="24"/>
          <w:highlight w:val="none"/>
        </w:rPr>
        <w:t>提供12个月的云服务资源，满足远程帮教亲情可视电话服务平台、音视频流媒体引擎、实名认证、人脸识别等云服务部署，保障系统正常运行和流畅使用，主要包括：云服务器、云服务出口带宽及弹性公网IP、满足不低于30路可视通话应用需求。</w:t>
      </w:r>
    </w:p>
    <w:p w14:paraId="2092DEB0">
      <w:pPr>
        <w:widowControl/>
        <w:spacing w:line="360" w:lineRule="auto"/>
        <w:jc w:val="left"/>
        <w:rPr>
          <w:rFonts w:hint="eastAsia" w:ascii="宋体" w:hAnsi="宋体" w:cs="宋体"/>
          <w:b/>
          <w:bCs/>
          <w:color w:val="auto"/>
          <w:kern w:val="0"/>
          <w:sz w:val="24"/>
          <w:highlight w:val="none"/>
        </w:rPr>
      </w:pPr>
    </w:p>
    <w:p w14:paraId="333773BA">
      <w:pPr>
        <w:widowControl/>
        <w:spacing w:line="360" w:lineRule="auto"/>
        <w:jc w:val="left"/>
        <w:rPr>
          <w:rFonts w:ascii="宋体" w:hAnsi="宋体" w:cs="宋体"/>
          <w:b/>
          <w:bCs/>
          <w:color w:val="auto"/>
          <w:sz w:val="24"/>
          <w:highlight w:val="none"/>
        </w:rPr>
      </w:pPr>
      <w:r>
        <w:rPr>
          <w:rFonts w:hint="eastAsia" w:ascii="宋体" w:hAnsi="宋体" w:cs="宋体"/>
          <w:b/>
          <w:bCs/>
          <w:color w:val="auto"/>
          <w:kern w:val="0"/>
          <w:sz w:val="24"/>
          <w:highlight w:val="none"/>
        </w:rPr>
        <w:t>三、商务要求</w:t>
      </w:r>
      <w:r>
        <w:rPr>
          <w:b/>
          <w:color w:val="auto"/>
          <w:sz w:val="24"/>
          <w:highlight w:val="none"/>
        </w:rPr>
        <w:t>（下述所有要求均为不允许偏离的实质性要求，若负偏离则按无效报价处理。）</w:t>
      </w:r>
    </w:p>
    <w:p w14:paraId="1B9489E8">
      <w:pPr>
        <w:pStyle w:val="6"/>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kern w:val="0"/>
          <w:sz w:val="24"/>
          <w:highlight w:val="none"/>
        </w:rPr>
      </w:pPr>
      <w:bookmarkStart w:id="10" w:name="OLE_LINK9"/>
      <w:r>
        <w:rPr>
          <w:rFonts w:hint="eastAsia" w:ascii="宋体" w:hAnsi="宋体" w:cs="宋体"/>
          <w:b/>
          <w:bCs/>
          <w:color w:val="auto"/>
          <w:kern w:val="0"/>
          <w:sz w:val="24"/>
          <w:highlight w:val="none"/>
        </w:rPr>
        <w:t>1.交付地点：</w:t>
      </w:r>
      <w:r>
        <w:rPr>
          <w:rFonts w:hint="eastAsia" w:ascii="宋体" w:hAnsi="宋体" w:cs="宋体"/>
          <w:b/>
          <w:bCs/>
          <w:color w:val="auto"/>
          <w:kern w:val="0"/>
          <w:sz w:val="24"/>
          <w:szCs w:val="24"/>
          <w:highlight w:val="none"/>
          <w:lang w:eastAsia="zh-CN"/>
        </w:rPr>
        <w:t>福建省莆田市涵江区新涵大街2089号</w:t>
      </w:r>
      <w:r>
        <w:rPr>
          <w:rFonts w:hint="eastAsia" w:ascii="宋体" w:hAnsi="宋体" w:cs="宋体"/>
          <w:b/>
          <w:bCs/>
          <w:color w:val="auto"/>
          <w:kern w:val="0"/>
          <w:sz w:val="24"/>
          <w:highlight w:val="none"/>
        </w:rPr>
        <w:t>。</w:t>
      </w:r>
    </w:p>
    <w:p w14:paraId="6A763422">
      <w:pPr>
        <w:pStyle w:val="6"/>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2.服务期限：</w:t>
      </w:r>
      <w:r>
        <w:rPr>
          <w:rFonts w:hint="eastAsia" w:ascii="宋体" w:hAnsi="宋体" w:cs="宋体"/>
          <w:b/>
          <w:bCs/>
          <w:color w:val="auto"/>
          <w:kern w:val="0"/>
          <w:sz w:val="24"/>
          <w:highlight w:val="none"/>
          <w:lang w:val="en-US" w:eastAsia="zh-CN"/>
        </w:rPr>
        <w:t>1</w:t>
      </w:r>
      <w:r>
        <w:rPr>
          <w:rFonts w:hint="eastAsia" w:ascii="宋体" w:hAnsi="宋体" w:cs="宋体"/>
          <w:b/>
          <w:bCs/>
          <w:color w:val="auto"/>
          <w:kern w:val="0"/>
          <w:sz w:val="24"/>
          <w:highlight w:val="none"/>
        </w:rPr>
        <w:t>年，以合同签订起止时间为准</w:t>
      </w:r>
      <w:r>
        <w:rPr>
          <w:rFonts w:hint="eastAsia" w:ascii="宋体" w:hAnsi="宋体" w:cs="宋体"/>
          <w:b/>
          <w:bCs/>
          <w:color w:val="auto"/>
          <w:kern w:val="0"/>
          <w:sz w:val="24"/>
          <w:highlight w:val="none"/>
          <w:lang w:eastAsia="zh-CN"/>
        </w:rPr>
        <w:t>。</w:t>
      </w:r>
    </w:p>
    <w:p w14:paraId="00AAF8ED">
      <w:pPr>
        <w:pStyle w:val="6"/>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rPr>
        <w:t>3.交付条件：按照竞价文件及合同要求完成各项服务要求</w:t>
      </w:r>
      <w:r>
        <w:rPr>
          <w:rFonts w:hint="eastAsia" w:ascii="宋体" w:hAnsi="宋体" w:cs="宋体"/>
          <w:b/>
          <w:bCs/>
          <w:color w:val="auto"/>
          <w:kern w:val="0"/>
          <w:sz w:val="24"/>
          <w:highlight w:val="none"/>
          <w:lang w:eastAsia="zh-CN"/>
        </w:rPr>
        <w:t>。</w:t>
      </w:r>
    </w:p>
    <w:bookmarkEnd w:id="10"/>
    <w:p w14:paraId="269E62C8">
      <w:pPr>
        <w:pStyle w:val="6"/>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sz w:val="24"/>
          <w:highlight w:val="none"/>
        </w:rPr>
      </w:pPr>
      <w:r>
        <w:rPr>
          <w:rFonts w:hint="eastAsia" w:ascii="宋体" w:hAnsi="宋体" w:cs="宋体"/>
          <w:b/>
          <w:bCs/>
          <w:color w:val="auto"/>
          <w:kern w:val="0"/>
          <w:sz w:val="24"/>
          <w:highlight w:val="none"/>
        </w:rPr>
        <w:t>4.</w:t>
      </w:r>
      <w:r>
        <w:rPr>
          <w:rFonts w:hint="eastAsia" w:ascii="宋体" w:hAnsi="宋体" w:cs="宋体"/>
          <w:b/>
          <w:bCs/>
          <w:color w:val="auto"/>
          <w:sz w:val="24"/>
          <w:highlight w:val="none"/>
        </w:rPr>
        <w:t>履约保证金</w:t>
      </w:r>
    </w:p>
    <w:p w14:paraId="0F02F71F">
      <w:pPr>
        <w:pStyle w:val="6"/>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sz w:val="24"/>
          <w:highlight w:val="none"/>
        </w:rPr>
      </w:pPr>
      <w:r>
        <w:rPr>
          <w:rFonts w:hint="eastAsia" w:ascii="宋体" w:hAnsi="宋体" w:cs="宋体"/>
          <w:b/>
          <w:bCs/>
          <w:color w:val="auto"/>
          <w:kern w:val="0"/>
          <w:sz w:val="24"/>
          <w:highlight w:val="none"/>
        </w:rPr>
        <w:t>履约保证金百分比：</w:t>
      </w:r>
      <w:r>
        <w:rPr>
          <w:rFonts w:hint="eastAsia" w:ascii="宋体" w:hAnsi="宋体" w:cs="宋体"/>
          <w:b/>
          <w:bCs/>
          <w:color w:val="auto"/>
          <w:kern w:val="0"/>
          <w:sz w:val="24"/>
          <w:highlight w:val="none"/>
          <w:u w:val="single"/>
          <w:lang w:val="en-US" w:eastAsia="zh-CN"/>
        </w:rPr>
        <w:t>5</w:t>
      </w:r>
      <w:r>
        <w:rPr>
          <w:rFonts w:hint="eastAsia" w:ascii="宋体" w:hAnsi="宋体" w:cs="宋体"/>
          <w:b/>
          <w:bCs/>
          <w:color w:val="auto"/>
          <w:kern w:val="0"/>
          <w:sz w:val="24"/>
          <w:highlight w:val="none"/>
        </w:rPr>
        <w:t>%。说明：成交供应商在签订合同前，以转账、支票等非现金方式向采购人缴纳合同总金额</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lang w:val="en-US" w:eastAsia="zh-CN"/>
        </w:rPr>
        <w:t>5</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rPr>
        <w:t>%履约保证金。履约保证金在成交供应商履行完合同约定的全部事项且双方无未了事项的前提下，采购人在收到成交供应商提交书面申请等材料后30日内无息退还。</w:t>
      </w:r>
      <w:r>
        <w:rPr>
          <w:rFonts w:hint="eastAsia" w:ascii="宋体" w:hAnsi="宋体" w:eastAsia="宋体" w:cs="宋体"/>
          <w:b/>
          <w:bCs/>
          <w:color w:val="auto"/>
          <w:kern w:val="0"/>
          <w:sz w:val="24"/>
          <w:szCs w:val="24"/>
          <w:highlight w:val="none"/>
        </w:rPr>
        <w:t>（若成交供应商为</w:t>
      </w:r>
      <w:r>
        <w:rPr>
          <w:rFonts w:hint="eastAsia" w:ascii="宋体" w:hAnsi="宋体" w:cs="宋体"/>
          <w:b/>
          <w:bCs/>
          <w:color w:val="auto"/>
          <w:kern w:val="0"/>
          <w:sz w:val="24"/>
          <w:szCs w:val="24"/>
          <w:highlight w:val="none"/>
          <w:lang w:eastAsia="zh-CN"/>
        </w:rPr>
        <w:t>中</w:t>
      </w: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szCs w:val="24"/>
          <w:highlight w:val="none"/>
          <w:lang w:eastAsia="zh-CN"/>
        </w:rPr>
        <w:t>小</w:t>
      </w:r>
      <w:r>
        <w:rPr>
          <w:rFonts w:hint="eastAsia" w:ascii="宋体" w:hAnsi="宋体" w:eastAsia="宋体" w:cs="宋体"/>
          <w:b/>
          <w:bCs/>
          <w:color w:val="auto"/>
          <w:kern w:val="0"/>
          <w:sz w:val="24"/>
          <w:szCs w:val="24"/>
          <w:highlight w:val="none"/>
        </w:rPr>
        <w:t>型企业的</w:t>
      </w:r>
      <w:r>
        <w:rPr>
          <w:rFonts w:hint="eastAsia" w:ascii="宋体" w:hAnsi="宋体" w:cs="宋体"/>
          <w:b/>
          <w:bCs/>
          <w:color w:val="auto"/>
          <w:kern w:val="0"/>
          <w:sz w:val="24"/>
          <w:szCs w:val="24"/>
          <w:highlight w:val="none"/>
          <w:lang w:eastAsia="zh-CN"/>
        </w:rPr>
        <w:t>应向采购人缴纳合同总金额</w:t>
      </w:r>
      <w:r>
        <w:rPr>
          <w:rFonts w:hint="eastAsia" w:ascii="宋体" w:hAnsi="宋体" w:cs="宋体"/>
          <w:b/>
          <w:bCs/>
          <w:color w:val="auto"/>
          <w:kern w:val="0"/>
          <w:sz w:val="24"/>
          <w:szCs w:val="24"/>
          <w:highlight w:val="none"/>
          <w:lang w:val="en-US" w:eastAsia="zh-CN"/>
        </w:rPr>
        <w:t>5%的履约保证金</w:t>
      </w:r>
      <w:r>
        <w:rPr>
          <w:rFonts w:hint="eastAsia" w:ascii="宋体" w:hAnsi="宋体" w:eastAsia="宋体" w:cs="宋体"/>
          <w:b/>
          <w:bCs/>
          <w:color w:val="auto"/>
          <w:kern w:val="0"/>
          <w:sz w:val="24"/>
          <w:szCs w:val="24"/>
          <w:highlight w:val="none"/>
        </w:rPr>
        <w:t>，若成交供应商为</w:t>
      </w:r>
      <w:r>
        <w:rPr>
          <w:rFonts w:hint="eastAsia" w:ascii="宋体" w:hAnsi="宋体" w:cs="宋体"/>
          <w:b/>
          <w:bCs/>
          <w:color w:val="auto"/>
          <w:kern w:val="0"/>
          <w:sz w:val="24"/>
          <w:szCs w:val="24"/>
          <w:highlight w:val="none"/>
          <w:lang w:eastAsia="zh-CN"/>
        </w:rPr>
        <w:t>微</w:t>
      </w:r>
      <w:r>
        <w:rPr>
          <w:rFonts w:hint="eastAsia" w:ascii="宋体" w:hAnsi="宋体" w:eastAsia="宋体" w:cs="宋体"/>
          <w:b/>
          <w:bCs/>
          <w:color w:val="auto"/>
          <w:kern w:val="0"/>
          <w:sz w:val="24"/>
          <w:szCs w:val="24"/>
          <w:highlight w:val="none"/>
        </w:rPr>
        <w:t>型企业</w:t>
      </w:r>
      <w:r>
        <w:rPr>
          <w:rFonts w:hint="eastAsia" w:ascii="宋体" w:hAnsi="宋体" w:cs="宋体"/>
          <w:b/>
          <w:bCs/>
          <w:color w:val="auto"/>
          <w:kern w:val="0"/>
          <w:sz w:val="24"/>
          <w:szCs w:val="24"/>
          <w:highlight w:val="none"/>
          <w:lang w:eastAsia="zh-CN"/>
        </w:rPr>
        <w:t>（含残疾人。监狱企业）</w:t>
      </w:r>
      <w:r>
        <w:rPr>
          <w:rFonts w:hint="eastAsia" w:ascii="宋体" w:hAnsi="宋体" w:eastAsia="宋体" w:cs="宋体"/>
          <w:b/>
          <w:bCs/>
          <w:color w:val="auto"/>
          <w:kern w:val="0"/>
          <w:sz w:val="24"/>
          <w:szCs w:val="24"/>
          <w:highlight w:val="none"/>
        </w:rPr>
        <w:t>的</w:t>
      </w:r>
      <w:r>
        <w:rPr>
          <w:rFonts w:hint="eastAsia" w:ascii="宋体" w:hAnsi="宋体" w:cs="宋体"/>
          <w:b/>
          <w:bCs/>
          <w:color w:val="auto"/>
          <w:kern w:val="0"/>
          <w:sz w:val="24"/>
          <w:szCs w:val="24"/>
          <w:highlight w:val="none"/>
          <w:lang w:eastAsia="zh-CN"/>
        </w:rPr>
        <w:t>应向采购人缴纳合同总金额</w:t>
      </w:r>
      <w:r>
        <w:rPr>
          <w:rFonts w:hint="eastAsia" w:ascii="宋体" w:hAnsi="宋体" w:cs="宋体"/>
          <w:b/>
          <w:bCs/>
          <w:color w:val="auto"/>
          <w:kern w:val="0"/>
          <w:sz w:val="24"/>
          <w:szCs w:val="24"/>
          <w:highlight w:val="none"/>
          <w:lang w:val="en-US" w:eastAsia="zh-CN"/>
        </w:rPr>
        <w:t>4%的履约保证金</w:t>
      </w:r>
      <w:r>
        <w:rPr>
          <w:rFonts w:hint="eastAsia" w:ascii="宋体" w:hAnsi="宋体" w:cs="宋体"/>
          <w:b/>
          <w:bCs/>
          <w:color w:val="auto"/>
          <w:kern w:val="0"/>
          <w:sz w:val="24"/>
          <w:szCs w:val="24"/>
          <w:highlight w:val="none"/>
          <w:lang w:eastAsia="zh-CN"/>
        </w:rPr>
        <w:t>；供应商须在响应文件中提供中、小、微型企业（含残疾人。监狱企业）证明材料，否则视为中</w:t>
      </w: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szCs w:val="24"/>
          <w:highlight w:val="none"/>
          <w:lang w:eastAsia="zh-CN"/>
        </w:rPr>
        <w:t>小</w:t>
      </w:r>
      <w:r>
        <w:rPr>
          <w:rFonts w:hint="eastAsia" w:ascii="宋体" w:hAnsi="宋体" w:eastAsia="宋体" w:cs="宋体"/>
          <w:b/>
          <w:bCs/>
          <w:color w:val="auto"/>
          <w:kern w:val="0"/>
          <w:sz w:val="24"/>
          <w:szCs w:val="24"/>
          <w:highlight w:val="none"/>
        </w:rPr>
        <w:t>型企业</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w:t>
      </w:r>
    </w:p>
    <w:p w14:paraId="078D8535">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ascii="宋体" w:hAnsi="宋体" w:cs="宋体"/>
          <w:b/>
          <w:bCs/>
          <w:color w:val="auto"/>
          <w:sz w:val="24"/>
          <w:highlight w:val="none"/>
        </w:rPr>
      </w:pPr>
      <w:bookmarkStart w:id="11" w:name="OLE_LINK2"/>
      <w:r>
        <w:rPr>
          <w:rFonts w:hint="eastAsia" w:ascii="宋体" w:hAnsi="宋体" w:cs="宋体"/>
          <w:b/>
          <w:bCs/>
          <w:color w:val="auto"/>
          <w:sz w:val="24"/>
          <w:highlight w:val="none"/>
        </w:rPr>
        <w:t>5.支付方式：</w:t>
      </w:r>
      <w:r>
        <w:rPr>
          <w:rFonts w:hint="eastAsia" w:ascii="宋体" w:hAnsi="宋体" w:eastAsia="宋体" w:cs="宋体"/>
          <w:b/>
          <w:bCs/>
          <w:color w:val="auto"/>
          <w:sz w:val="24"/>
          <w:highlight w:val="none"/>
        </w:rPr>
        <w:t>每月结算一次，按合同总金额分</w:t>
      </w:r>
      <w:r>
        <w:rPr>
          <w:rFonts w:hint="eastAsia" w:ascii="宋体" w:hAnsi="宋体" w:eastAsia="宋体" w:cs="宋体"/>
          <w:b/>
          <w:bCs/>
          <w:color w:val="auto"/>
          <w:sz w:val="24"/>
          <w:highlight w:val="none"/>
          <w:lang w:eastAsia="zh-CN"/>
        </w:rPr>
        <w:t>十二</w:t>
      </w:r>
      <w:r>
        <w:rPr>
          <w:rFonts w:hint="eastAsia" w:ascii="宋体" w:hAnsi="宋体" w:eastAsia="宋体" w:cs="宋体"/>
          <w:b/>
          <w:bCs/>
          <w:color w:val="auto"/>
          <w:sz w:val="24"/>
          <w:highlight w:val="none"/>
        </w:rPr>
        <w:t>期支付。结算周期内服务内容经采购人验收合格后，成交</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须在下个结算周期的第一个月的5日内（遇法定公休日节假日顺延）向采购人提供全额增值税</w:t>
      </w:r>
      <w:r>
        <w:rPr>
          <w:rFonts w:hint="eastAsia" w:ascii="宋体" w:hAnsi="宋体" w:eastAsia="宋体" w:cs="宋体"/>
          <w:b/>
          <w:bCs/>
          <w:color w:val="auto"/>
          <w:sz w:val="24"/>
          <w:highlight w:val="none"/>
          <w:lang w:eastAsia="zh-CN"/>
        </w:rPr>
        <w:t>普通</w:t>
      </w:r>
      <w:r>
        <w:rPr>
          <w:rFonts w:hint="eastAsia" w:ascii="宋体" w:hAnsi="宋体" w:eastAsia="宋体" w:cs="宋体"/>
          <w:b/>
          <w:bCs/>
          <w:color w:val="auto"/>
          <w:sz w:val="24"/>
          <w:highlight w:val="none"/>
        </w:rPr>
        <w:t>发票及相关材料</w:t>
      </w:r>
      <w:r>
        <w:rPr>
          <w:rFonts w:hint="eastAsia" w:ascii="宋体" w:hAnsi="宋体" w:cs="宋体"/>
          <w:b/>
          <w:bCs/>
          <w:color w:val="auto"/>
          <w:sz w:val="24"/>
          <w:highlight w:val="none"/>
        </w:rPr>
        <w:t>，采购人在收到</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的发票和相关材料后</w:t>
      </w:r>
      <w:r>
        <w:rPr>
          <w:rFonts w:hint="eastAsia" w:ascii="宋体" w:hAnsi="宋体" w:cs="宋体"/>
          <w:b/>
          <w:bCs/>
          <w:color w:val="auto"/>
          <w:sz w:val="24"/>
          <w:highlight w:val="none"/>
          <w:lang w:val="en-US" w:eastAsia="zh-CN"/>
        </w:rPr>
        <w:t>10个工作日内</w:t>
      </w:r>
      <w:r>
        <w:rPr>
          <w:rFonts w:hint="eastAsia" w:ascii="宋体" w:hAnsi="宋体" w:cs="宋体"/>
          <w:b/>
          <w:bCs/>
          <w:color w:val="auto"/>
          <w:sz w:val="24"/>
          <w:highlight w:val="none"/>
        </w:rPr>
        <w:t>支付费用。</w:t>
      </w:r>
    </w:p>
    <w:bookmarkEnd w:id="6"/>
    <w:bookmarkEnd w:id="7"/>
    <w:bookmarkEnd w:id="8"/>
    <w:bookmarkEnd w:id="9"/>
    <w:bookmarkEnd w:id="11"/>
    <w:p w14:paraId="461FF960">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违约责任</w:t>
      </w:r>
    </w:p>
    <w:p w14:paraId="5C29E5DC">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6.1</w:t>
      </w:r>
      <w:r>
        <w:rPr>
          <w:rFonts w:hint="eastAsia" w:ascii="宋体" w:hAnsi="宋体" w:eastAsia="宋体" w:cs="宋体"/>
          <w:color w:val="auto"/>
          <w:sz w:val="24"/>
          <w:szCs w:val="24"/>
          <w:highlight w:val="none"/>
        </w:rPr>
        <w:t>解除合同违约责任</w:t>
      </w:r>
    </w:p>
    <w:p w14:paraId="072D60B9">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签订合同后因</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任何违约行为导致本合同无法正常继续履行或提前终止，</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有权不予退还履约保证金。</w:t>
      </w:r>
    </w:p>
    <w:p w14:paraId="2A1163C2">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6.2</w:t>
      </w:r>
      <w:r>
        <w:rPr>
          <w:rFonts w:hint="eastAsia" w:ascii="宋体" w:hAnsi="宋体" w:eastAsia="宋体" w:cs="宋体"/>
          <w:b w:val="0"/>
          <w:bCs w:val="0"/>
          <w:color w:val="auto"/>
          <w:sz w:val="24"/>
          <w:szCs w:val="24"/>
          <w:highlight w:val="none"/>
          <w:lang w:val="en-US" w:eastAsia="zh-CN"/>
        </w:rPr>
        <w:t>进入监管区有关违约责任</w:t>
      </w:r>
    </w:p>
    <w:p w14:paraId="525F2B7A">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kern w:val="0"/>
          <w:sz w:val="24"/>
          <w:szCs w:val="24"/>
          <w:highlight w:val="none"/>
          <w:u w:val="none"/>
          <w:shd w:val="clear" w:color="auto" w:fill="auto"/>
          <w:lang w:val="en-US" w:eastAsia="zh-CN"/>
        </w:rPr>
      </w:pPr>
      <w:r>
        <w:rPr>
          <w:rFonts w:hint="eastAsia" w:ascii="宋体" w:hAnsi="宋体" w:eastAsia="宋体" w:cs="宋体"/>
          <w:b w:val="0"/>
          <w:bCs w:val="0"/>
          <w:color w:val="auto"/>
          <w:sz w:val="24"/>
          <w:szCs w:val="24"/>
          <w:highlight w:val="none"/>
          <w:lang w:val="en-US" w:eastAsia="zh-CN"/>
        </w:rPr>
        <w:t>成交供应商进入采购人监管区的工作人员必须遵守采购人的工作制度和监管安全规定，服从采购人人员的指挥，</w:t>
      </w:r>
      <w:r>
        <w:rPr>
          <w:rFonts w:hint="eastAsia" w:ascii="宋体" w:hAnsi="宋体" w:eastAsia="宋体" w:cs="宋体"/>
          <w:color w:val="auto"/>
          <w:sz w:val="24"/>
          <w:szCs w:val="24"/>
          <w:highlight w:val="none"/>
          <w:lang w:eastAsia="zh-CN"/>
        </w:rPr>
        <w:t>进监车辆及</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eastAsia="zh-CN"/>
        </w:rPr>
        <w:t>违反采购人相关规定携带违禁物品</w:t>
      </w:r>
      <w:r>
        <w:rPr>
          <w:rFonts w:hint="eastAsia" w:ascii="宋体" w:hAnsi="宋体" w:cs="宋体"/>
          <w:color w:val="auto"/>
          <w:sz w:val="24"/>
          <w:szCs w:val="24"/>
          <w:highlight w:val="none"/>
          <w:lang w:eastAsia="zh-CN"/>
        </w:rPr>
        <w:t>（含</w:t>
      </w:r>
      <w:r>
        <w:rPr>
          <w:rFonts w:hint="eastAsia" w:ascii="宋体" w:hAnsi="宋体" w:eastAsia="宋体" w:cs="宋体"/>
          <w:b w:val="0"/>
          <w:bCs w:val="0"/>
          <w:color w:val="auto"/>
          <w:sz w:val="24"/>
          <w:szCs w:val="24"/>
          <w:highlight w:val="none"/>
          <w:lang w:val="en-US" w:eastAsia="zh-CN"/>
        </w:rPr>
        <w:t>传递信息、现金、手机、毒品、枪支、刀具</w:t>
      </w:r>
      <w:r>
        <w:rPr>
          <w:rFonts w:hint="eastAsia" w:ascii="宋体" w:hAnsi="宋体" w:cs="宋体"/>
          <w:b w:val="0"/>
          <w:bCs w:val="0"/>
          <w:color w:val="auto"/>
          <w:sz w:val="24"/>
          <w:szCs w:val="24"/>
          <w:highlight w:val="none"/>
          <w:lang w:val="en-US" w:eastAsia="zh-CN"/>
        </w:rPr>
        <w:t>、以及其他与进监服务无关物品</w:t>
      </w:r>
      <w:r>
        <w:rPr>
          <w:rFonts w:hint="eastAsia" w:ascii="宋体" w:hAnsi="宋体" w:eastAsia="宋体" w:cs="宋体"/>
          <w:b w:val="0"/>
          <w:bCs w:val="0"/>
          <w:color w:val="auto"/>
          <w:sz w:val="24"/>
          <w:szCs w:val="24"/>
          <w:highlight w:val="none"/>
          <w:lang w:val="en-US" w:eastAsia="zh-CN"/>
        </w:rPr>
        <w:t>等</w:t>
      </w:r>
      <w:r>
        <w:rPr>
          <w:rFonts w:hint="eastAsia" w:ascii="宋体" w:hAnsi="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eastAsia="zh-CN"/>
        </w:rPr>
        <w:t>进监</w:t>
      </w:r>
      <w:r>
        <w:rPr>
          <w:rFonts w:hint="eastAsia" w:ascii="宋体" w:hAnsi="宋体" w:eastAsia="宋体" w:cs="宋体"/>
          <w:color w:val="auto"/>
          <w:sz w:val="24"/>
          <w:szCs w:val="24"/>
          <w:highlight w:val="none"/>
        </w:rPr>
        <w:t>的</w:t>
      </w:r>
      <w:r>
        <w:rPr>
          <w:rFonts w:hint="eastAsia" w:ascii="宋体" w:hAnsi="宋体" w:eastAsia="宋体" w:cs="宋体"/>
          <w:b w:val="0"/>
          <w:bCs w:val="0"/>
          <w:color w:val="auto"/>
          <w:sz w:val="24"/>
          <w:szCs w:val="24"/>
          <w:highlight w:val="none"/>
          <w:lang w:val="en-US" w:eastAsia="zh-CN"/>
        </w:rPr>
        <w:t>，若有发现经核查属实的，成交供应商须马上更换工作人员，并视情况向采购人支付</w:t>
      </w:r>
      <w:r>
        <w:rPr>
          <w:rFonts w:hint="eastAsia" w:cs="宋体"/>
          <w:b w:val="0"/>
          <w:bCs w:val="0"/>
          <w:color w:val="auto"/>
          <w:sz w:val="24"/>
          <w:szCs w:val="24"/>
          <w:highlight w:val="none"/>
          <w:lang w:val="en-US" w:eastAsia="zh-CN"/>
        </w:rPr>
        <w:t>5000</w:t>
      </w:r>
      <w:r>
        <w:rPr>
          <w:rFonts w:hint="eastAsia" w:ascii="宋体" w:hAnsi="宋体" w:eastAsia="宋体" w:cs="宋体"/>
          <w:b w:val="0"/>
          <w:bCs w:val="0"/>
          <w:color w:val="auto"/>
          <w:sz w:val="24"/>
          <w:szCs w:val="24"/>
          <w:highlight w:val="none"/>
          <w:lang w:val="en-US" w:eastAsia="zh-CN"/>
        </w:rPr>
        <w:t>元的违约金，违约金采购人有权直接从服务费用中扣除。发生二次（含）以上或造成严重后果的，采购人有权解除合同并不退还履约保证金，成交供应商还应承担相关的法律责任。</w:t>
      </w:r>
    </w:p>
    <w:p w14:paraId="51A093A1">
      <w:pPr>
        <w:keepNext w:val="0"/>
        <w:keepLines w:val="0"/>
        <w:pageBreakBefore w:val="0"/>
        <w:tabs>
          <w:tab w:val="left" w:pos="4606"/>
        </w:tabs>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color w:val="auto"/>
          <w:kern w:val="0"/>
          <w:sz w:val="24"/>
          <w:szCs w:val="24"/>
          <w:highlight w:val="none"/>
          <w:u w:val="none"/>
          <w:shd w:val="clear" w:color="auto" w:fill="auto"/>
        </w:rPr>
      </w:pPr>
      <w:r>
        <w:rPr>
          <w:rFonts w:hint="eastAsia" w:ascii="宋体" w:hAnsi="宋体" w:cs="宋体"/>
          <w:b w:val="0"/>
          <w:bCs w:val="0"/>
          <w:color w:val="auto"/>
          <w:kern w:val="0"/>
          <w:sz w:val="24"/>
          <w:szCs w:val="24"/>
          <w:highlight w:val="none"/>
          <w:u w:val="none"/>
          <w:shd w:val="clear" w:color="auto" w:fill="auto"/>
          <w:lang w:val="en-US" w:eastAsia="zh-CN"/>
        </w:rPr>
        <w:t>6.3</w:t>
      </w:r>
      <w:r>
        <w:rPr>
          <w:rFonts w:hint="eastAsia" w:ascii="宋体" w:hAnsi="宋体" w:eastAsia="宋体" w:cs="宋体"/>
          <w:b w:val="0"/>
          <w:bCs w:val="0"/>
          <w:color w:val="auto"/>
          <w:kern w:val="0"/>
          <w:sz w:val="24"/>
          <w:szCs w:val="24"/>
          <w:highlight w:val="none"/>
          <w:u w:val="none"/>
          <w:shd w:val="clear" w:color="auto" w:fill="auto"/>
        </w:rPr>
        <w:t>合同期内服务不到位相关违约责任</w:t>
      </w:r>
    </w:p>
    <w:p w14:paraId="0FEA5F42">
      <w:pPr>
        <w:keepNext w:val="0"/>
        <w:keepLines w:val="0"/>
        <w:pageBreakBefore w:val="0"/>
        <w:widowControl/>
        <w:tabs>
          <w:tab w:val="left" w:pos="4606"/>
        </w:tabs>
        <w:kinsoku/>
        <w:wordWrap/>
        <w:overflowPunct/>
        <w:topLinePunct w:val="0"/>
        <w:autoSpaceDE/>
        <w:autoSpaceDN/>
        <w:bidi w:val="0"/>
        <w:adjustRightInd/>
        <w:snapToGrid/>
        <w:spacing w:line="360" w:lineRule="auto"/>
        <w:ind w:firstLine="480" w:firstLineChars="20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6.3</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必须</w:t>
      </w:r>
      <w:r>
        <w:rPr>
          <w:rFonts w:hint="eastAsia" w:ascii="宋体" w:hAnsi="宋体" w:cs="宋体"/>
          <w:color w:val="auto"/>
          <w:kern w:val="0"/>
          <w:sz w:val="24"/>
          <w:szCs w:val="24"/>
          <w:highlight w:val="none"/>
          <w:lang w:eastAsia="zh-CN"/>
        </w:rPr>
        <w:t>至少</w:t>
      </w:r>
      <w:r>
        <w:rPr>
          <w:rFonts w:hint="eastAsia" w:ascii="宋体" w:hAnsi="宋体" w:eastAsia="宋体" w:cs="宋体"/>
          <w:color w:val="auto"/>
          <w:kern w:val="0"/>
          <w:sz w:val="24"/>
          <w:szCs w:val="24"/>
          <w:highlight w:val="none"/>
        </w:rPr>
        <w:t>按</w:t>
      </w:r>
      <w:r>
        <w:rPr>
          <w:rFonts w:hint="eastAsia" w:ascii="宋体" w:hAnsi="宋体" w:cs="宋体"/>
          <w:color w:val="auto"/>
          <w:kern w:val="0"/>
          <w:sz w:val="24"/>
          <w:szCs w:val="24"/>
          <w:highlight w:val="none"/>
          <w:lang w:eastAsia="zh-CN"/>
        </w:rPr>
        <w:t>合同约定的</w:t>
      </w:r>
      <w:r>
        <w:rPr>
          <w:rFonts w:hint="eastAsia" w:ascii="宋体" w:hAnsi="宋体" w:eastAsia="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如因</w:t>
      </w:r>
      <w:r>
        <w:rPr>
          <w:rFonts w:hint="eastAsia" w:ascii="宋体" w:hAnsi="宋体" w:eastAsia="宋体" w:cs="宋体"/>
          <w:color w:val="auto"/>
          <w:kern w:val="0"/>
          <w:sz w:val="24"/>
          <w:szCs w:val="24"/>
          <w:highlight w:val="none"/>
          <w:lang w:eastAsia="zh-CN"/>
        </w:rPr>
        <w:t>成交供应商</w:t>
      </w:r>
      <w:r>
        <w:rPr>
          <w:rFonts w:hint="eastAsia" w:ascii="宋体" w:hAnsi="宋体" w:cs="宋体"/>
          <w:color w:val="auto"/>
          <w:kern w:val="0"/>
          <w:sz w:val="24"/>
          <w:szCs w:val="24"/>
          <w:highlight w:val="none"/>
          <w:lang w:eastAsia="zh-CN"/>
        </w:rPr>
        <w:t>原因，服务未达到合同约定的，采购人有权不予以验收，并不予支付服务费用。</w:t>
      </w:r>
    </w:p>
    <w:p w14:paraId="15E74F02">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cs="宋体"/>
          <w:color w:val="auto"/>
          <w:kern w:val="0"/>
          <w:sz w:val="24"/>
          <w:szCs w:val="24"/>
          <w:highlight w:val="none"/>
          <w:lang w:val="en-US" w:eastAsia="zh-CN"/>
        </w:rPr>
      </w:pPr>
      <w:r>
        <w:rPr>
          <w:rFonts w:hint="eastAsia" w:cs="宋体"/>
          <w:color w:val="auto"/>
          <w:kern w:val="0"/>
          <w:sz w:val="24"/>
          <w:szCs w:val="24"/>
          <w:highlight w:val="none"/>
          <w:lang w:val="en-US" w:eastAsia="zh-CN"/>
        </w:rPr>
        <w:t>6</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w:t>
      </w:r>
      <w:r>
        <w:rPr>
          <w:rFonts w:hint="eastAsia" w:cs="宋体"/>
          <w:color w:val="auto"/>
          <w:kern w:val="0"/>
          <w:sz w:val="24"/>
          <w:szCs w:val="24"/>
          <w:highlight w:val="none"/>
          <w:lang w:val="en-US" w:eastAsia="zh-CN"/>
        </w:rPr>
        <w:t>2</w:t>
      </w:r>
      <w:r>
        <w:rPr>
          <w:rFonts w:hint="eastAsia" w:ascii="宋体" w:hAnsi="宋体" w:eastAsia="宋体" w:cs="宋体"/>
          <w:b w:val="0"/>
          <w:bCs/>
          <w:color w:val="auto"/>
          <w:kern w:val="2"/>
          <w:sz w:val="24"/>
          <w:szCs w:val="24"/>
          <w:highlight w:val="none"/>
          <w:lang w:val="en-US" w:eastAsia="zh-CN" w:bidi="ar-SA"/>
        </w:rPr>
        <w:t>除上述具体违约责任外，成交人出现不符合</w:t>
      </w:r>
      <w:r>
        <w:rPr>
          <w:rFonts w:hint="eastAsia" w:cs="宋体"/>
          <w:b w:val="0"/>
          <w:bCs/>
          <w:color w:val="auto"/>
          <w:kern w:val="2"/>
          <w:sz w:val="24"/>
          <w:szCs w:val="24"/>
          <w:highlight w:val="none"/>
          <w:lang w:val="en-US" w:eastAsia="zh-CN" w:bidi="ar-SA"/>
        </w:rPr>
        <w:t>网上竞价</w:t>
      </w:r>
      <w:r>
        <w:rPr>
          <w:rFonts w:hint="eastAsia" w:ascii="宋体" w:hAnsi="宋体" w:eastAsia="宋体" w:cs="宋体"/>
          <w:b w:val="0"/>
          <w:bCs/>
          <w:color w:val="auto"/>
          <w:kern w:val="2"/>
          <w:sz w:val="24"/>
          <w:szCs w:val="24"/>
          <w:highlight w:val="none"/>
          <w:lang w:val="en-US" w:eastAsia="zh-CN" w:bidi="ar-SA"/>
        </w:rPr>
        <w:t>文件、响应文件、合同其他采购要求的，每出现一次，需向采购人支付违约金</w:t>
      </w:r>
      <w:r>
        <w:rPr>
          <w:rFonts w:hint="eastAsia" w:cs="宋体"/>
          <w:b w:val="0"/>
          <w:bCs/>
          <w:color w:val="auto"/>
          <w:kern w:val="2"/>
          <w:sz w:val="24"/>
          <w:szCs w:val="24"/>
          <w:highlight w:val="none"/>
          <w:lang w:val="en-US" w:eastAsia="zh-CN" w:bidi="ar-SA"/>
        </w:rPr>
        <w:t>2000</w:t>
      </w:r>
      <w:r>
        <w:rPr>
          <w:rFonts w:hint="eastAsia" w:ascii="宋体" w:hAnsi="宋体" w:eastAsia="宋体" w:cs="宋体"/>
          <w:b w:val="0"/>
          <w:bCs/>
          <w:color w:val="auto"/>
          <w:kern w:val="2"/>
          <w:sz w:val="24"/>
          <w:szCs w:val="24"/>
          <w:highlight w:val="none"/>
          <w:lang w:val="en-US" w:eastAsia="zh-CN" w:bidi="ar-SA"/>
        </w:rPr>
        <w:t>元。</w:t>
      </w:r>
    </w:p>
    <w:p w14:paraId="14458681">
      <w:pPr>
        <w:keepNext w:val="0"/>
        <w:keepLines w:val="0"/>
        <w:pageBreakBefore w:val="0"/>
        <w:widowControl/>
        <w:tabs>
          <w:tab w:val="left" w:pos="4606"/>
        </w:tabs>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6.3.4</w:t>
      </w:r>
      <w:r>
        <w:rPr>
          <w:rFonts w:hint="eastAsia" w:ascii="宋体" w:hAnsi="宋体" w:eastAsia="宋体" w:cs="宋体"/>
          <w:color w:val="auto"/>
          <w:kern w:val="0"/>
          <w:sz w:val="24"/>
          <w:szCs w:val="24"/>
          <w:highlight w:val="none"/>
        </w:rPr>
        <w:t>违约金直接从</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应支付</w:t>
      </w:r>
      <w:r>
        <w:rPr>
          <w:rFonts w:hint="eastAsia" w:ascii="宋体" w:hAnsi="宋体" w:eastAsia="宋体" w:cs="宋体"/>
          <w:color w:val="auto"/>
          <w:kern w:val="0"/>
          <w:sz w:val="24"/>
          <w:szCs w:val="24"/>
          <w:highlight w:val="none"/>
          <w:lang w:eastAsia="zh-CN"/>
        </w:rPr>
        <w:t>给成交供应商</w:t>
      </w:r>
      <w:r>
        <w:rPr>
          <w:rFonts w:hint="eastAsia" w:ascii="宋体" w:hAnsi="宋体" w:eastAsia="宋体" w:cs="宋体"/>
          <w:color w:val="auto"/>
          <w:kern w:val="0"/>
          <w:sz w:val="24"/>
          <w:szCs w:val="24"/>
          <w:highlight w:val="none"/>
        </w:rPr>
        <w:t>的费用中扣除。不足部分，</w:t>
      </w:r>
      <w:r>
        <w:rPr>
          <w:rFonts w:hint="eastAsia" w:ascii="宋体" w:hAnsi="宋体" w:eastAsia="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应于</w:t>
      </w:r>
      <w:r>
        <w:rPr>
          <w:rFonts w:hint="eastAsia" w:ascii="宋体" w:hAnsi="宋体" w:eastAsia="宋体" w:cs="宋体"/>
          <w:color w:val="auto"/>
          <w:kern w:val="0"/>
          <w:sz w:val="24"/>
          <w:szCs w:val="24"/>
          <w:highlight w:val="none"/>
          <w:lang w:eastAsia="zh-CN"/>
        </w:rPr>
        <w:t>接到采购人通知后</w:t>
      </w:r>
      <w:r>
        <w:rPr>
          <w:rFonts w:hint="eastAsia" w:ascii="宋体" w:hAnsi="宋体" w:eastAsia="宋体" w:cs="宋体"/>
          <w:color w:val="auto"/>
          <w:kern w:val="0"/>
          <w:sz w:val="24"/>
          <w:szCs w:val="24"/>
          <w:highlight w:val="none"/>
        </w:rPr>
        <w:t>15日内缴纳。</w:t>
      </w:r>
    </w:p>
    <w:p w14:paraId="4890F9E3">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6.4</w:t>
      </w:r>
      <w:r>
        <w:rPr>
          <w:rFonts w:hint="eastAsia" w:ascii="宋体" w:hAnsi="宋体" w:eastAsia="宋体" w:cs="宋体"/>
          <w:color w:val="auto"/>
          <w:sz w:val="24"/>
          <w:szCs w:val="24"/>
          <w:highlight w:val="none"/>
        </w:rPr>
        <w:t>分包转包违约责任</w:t>
      </w:r>
    </w:p>
    <w:p w14:paraId="37569BED">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360" w:firstLineChars="15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不得将本项目进行分包或转包，如发现经查实，</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有权单方解除合同并不予退还履约保证金。</w:t>
      </w:r>
    </w:p>
    <w:p w14:paraId="4F280886">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6.5</w:t>
      </w:r>
      <w:r>
        <w:rPr>
          <w:rFonts w:hint="eastAsia" w:ascii="宋体" w:hAnsi="宋体" w:eastAsia="宋体" w:cs="宋体"/>
          <w:color w:val="auto"/>
          <w:sz w:val="24"/>
          <w:szCs w:val="24"/>
          <w:highlight w:val="none"/>
        </w:rPr>
        <w:t>诉讼相关费用承担</w:t>
      </w:r>
    </w:p>
    <w:p w14:paraId="70F030FF">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若因</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未履行本合同项下义务导致</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所产生的一切损失（包括但不限于人身财产的损失、律师费、诉讼费、保全费、鉴定费等），均由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承担违约和赔偿责任。</w:t>
      </w:r>
    </w:p>
    <w:p w14:paraId="3580A8FD">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6.6</w:t>
      </w:r>
      <w:r>
        <w:rPr>
          <w:rFonts w:hint="eastAsia" w:ascii="宋体" w:hAnsi="宋体" w:eastAsia="宋体" w:cs="宋体"/>
          <w:color w:val="auto"/>
          <w:sz w:val="24"/>
          <w:szCs w:val="24"/>
          <w:highlight w:val="none"/>
        </w:rPr>
        <w:t>政策调整导致合同解除的情况</w:t>
      </w:r>
    </w:p>
    <w:p w14:paraId="0C6C51AF">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在合同履行期间，若遇政府部门或上级单位出台有关该项目的政策调整</w:t>
      </w:r>
      <w:r>
        <w:rPr>
          <w:rFonts w:hint="eastAsia" w:ascii="宋体" w:hAnsi="宋体" w:cs="宋体"/>
          <w:color w:val="auto"/>
          <w:sz w:val="24"/>
          <w:szCs w:val="24"/>
          <w:highlight w:val="none"/>
          <w:lang w:eastAsia="zh-CN"/>
        </w:rPr>
        <w:t>（包括但不限于：省局三合一平台启用后等）</w:t>
      </w:r>
      <w:r>
        <w:rPr>
          <w:rFonts w:hint="eastAsia" w:ascii="宋体" w:hAnsi="宋体" w:eastAsia="宋体" w:cs="宋体"/>
          <w:color w:val="auto"/>
          <w:sz w:val="24"/>
          <w:szCs w:val="24"/>
          <w:highlight w:val="none"/>
        </w:rPr>
        <w:t>，继续履行合同违反相关政策文件要求的，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须提前</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日通知</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终止合同，因此造成的合同解除</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不承担违约责任。</w:t>
      </w:r>
    </w:p>
    <w:p w14:paraId="48A007AA">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color w:val="auto"/>
          <w:highlight w:val="none"/>
        </w:rPr>
      </w:pPr>
      <w:r>
        <w:rPr>
          <w:rFonts w:hint="eastAsia"/>
          <w:b/>
          <w:bCs/>
          <w:color w:val="auto"/>
          <w:highlight w:val="none"/>
          <w:lang w:val="en-US" w:eastAsia="zh-CN"/>
        </w:rPr>
        <w:t>7</w:t>
      </w:r>
      <w:r>
        <w:rPr>
          <w:rStyle w:val="24"/>
          <w:rFonts w:hint="eastAsia"/>
          <w:color w:val="auto"/>
          <w:highlight w:val="none"/>
        </w:rPr>
        <w:t>.诉讼相关费用承担</w:t>
      </w:r>
    </w:p>
    <w:p w14:paraId="300905CB">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rPr>
      </w:pPr>
      <w:r>
        <w:rPr>
          <w:rFonts w:hint="eastAsia"/>
          <w:color w:val="auto"/>
          <w:highlight w:val="none"/>
        </w:rPr>
        <w:t>若因成交供应商未履行合同项下义务导致采购人所产生的一切损失（包括但不限于人身财产的损失、律师费、诉讼费、保全费、鉴定费等），均由成交供应商承担赔偿责任。</w:t>
      </w:r>
    </w:p>
    <w:p w14:paraId="23848081">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b/>
          <w:bCs/>
          <w:color w:val="auto"/>
          <w:highlight w:val="none"/>
        </w:rPr>
      </w:pPr>
      <w:r>
        <w:rPr>
          <w:rFonts w:hint="eastAsia"/>
          <w:b/>
          <w:bCs/>
          <w:color w:val="auto"/>
          <w:highlight w:val="none"/>
          <w:lang w:val="en-US" w:eastAsia="zh-CN"/>
        </w:rPr>
        <w:t>8</w:t>
      </w:r>
      <w:r>
        <w:rPr>
          <w:rFonts w:hint="eastAsia"/>
          <w:b/>
          <w:bCs/>
          <w:color w:val="auto"/>
          <w:highlight w:val="none"/>
        </w:rPr>
        <w:t>.</w:t>
      </w:r>
      <w:r>
        <w:rPr>
          <w:rFonts w:hint="eastAsia"/>
          <w:b/>
          <w:bCs/>
          <w:color w:val="auto"/>
          <w:highlight w:val="none"/>
          <w:lang w:val="zh-TW"/>
        </w:rPr>
        <w:t>不可抗力</w:t>
      </w:r>
    </w:p>
    <w:p w14:paraId="605F43D1">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4200CD8">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20766C33">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Style w:val="24"/>
          <w:color w:val="auto"/>
          <w:highlight w:val="none"/>
        </w:rPr>
      </w:pPr>
      <w:r>
        <w:rPr>
          <w:rStyle w:val="24"/>
          <w:rFonts w:hint="eastAsia"/>
          <w:color w:val="auto"/>
          <w:highlight w:val="none"/>
          <w:lang w:val="en-US" w:eastAsia="zh-CN"/>
        </w:rPr>
        <w:t>9</w:t>
      </w:r>
      <w:r>
        <w:rPr>
          <w:rStyle w:val="24"/>
          <w:rFonts w:hint="eastAsia"/>
          <w:color w:val="auto"/>
          <w:highlight w:val="none"/>
        </w:rPr>
        <w:t>.专利权及知识产权</w:t>
      </w:r>
    </w:p>
    <w:p w14:paraId="725862FC">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color w:val="auto"/>
          <w:highlight w:val="none"/>
        </w:rPr>
        <w:t>成交供应商</w:t>
      </w:r>
      <w:r>
        <w:rPr>
          <w:rFonts w:hint="eastAsia"/>
          <w:color w:val="auto"/>
          <w:highlight w:val="none"/>
          <w:lang w:val="zh-TW"/>
        </w:rPr>
        <w:t>须与第三方交涉并承担可能发生的责任与一切费用。如采购人因此而遭致损失的，</w:t>
      </w:r>
      <w:r>
        <w:rPr>
          <w:rFonts w:hint="eastAsia"/>
          <w:color w:val="auto"/>
          <w:highlight w:val="none"/>
        </w:rPr>
        <w:t>成交供应商</w:t>
      </w:r>
      <w:r>
        <w:rPr>
          <w:rFonts w:hint="eastAsia"/>
          <w:color w:val="auto"/>
          <w:highlight w:val="none"/>
          <w:lang w:val="zh-TW"/>
        </w:rPr>
        <w:t>应赔偿该损失。</w:t>
      </w:r>
    </w:p>
    <w:p w14:paraId="22265002">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color w:val="auto"/>
          <w:highlight w:val="none"/>
        </w:rPr>
      </w:pPr>
      <w:r>
        <w:rPr>
          <w:rStyle w:val="24"/>
          <w:rFonts w:hint="eastAsia"/>
          <w:color w:val="auto"/>
          <w:highlight w:val="none"/>
        </w:rPr>
        <w:t>1</w:t>
      </w:r>
      <w:r>
        <w:rPr>
          <w:rStyle w:val="24"/>
          <w:rFonts w:hint="eastAsia"/>
          <w:color w:val="auto"/>
          <w:highlight w:val="none"/>
          <w:lang w:val="en-US" w:eastAsia="zh-CN"/>
        </w:rPr>
        <w:t>0</w:t>
      </w:r>
      <w:r>
        <w:rPr>
          <w:rStyle w:val="24"/>
          <w:rFonts w:hint="eastAsia"/>
          <w:color w:val="auto"/>
          <w:highlight w:val="none"/>
        </w:rPr>
        <w:t>.保密条款</w:t>
      </w:r>
    </w:p>
    <w:p w14:paraId="36B11F28">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rPr>
      </w:pPr>
      <w:r>
        <w:rPr>
          <w:rFonts w:hint="eastAsia"/>
          <w:color w:val="auto"/>
          <w:highlight w:val="none"/>
        </w:rPr>
        <w:t>（1）成交供应商应当对合同的内容、因履行合同或在合同期间知悉的或收到的采购人的财务、技术、产品信息、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14:paraId="251B6D62">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rPr>
      </w:pPr>
      <w:r>
        <w:rPr>
          <w:rFonts w:hint="eastAsia"/>
          <w:color w:val="auto"/>
          <w:highlight w:val="none"/>
        </w:rPr>
        <w:t>（2）成交供应商违反本条约定泄露采购人的涉密信息的，应承担相应的法律责任，造成采购人损失的，成交供应商应当依法承担赔偿责任。</w:t>
      </w:r>
    </w:p>
    <w:p w14:paraId="1629D0C4">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14:paraId="077B56BD">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1</w:t>
      </w:r>
      <w:r>
        <w:rPr>
          <w:rFonts w:hint="eastAsia"/>
          <w:b/>
          <w:bCs/>
          <w:color w:val="auto"/>
          <w:highlight w:val="none"/>
        </w:rPr>
        <w:t>.</w:t>
      </w:r>
      <w:r>
        <w:rPr>
          <w:rFonts w:hint="eastAsia"/>
          <w:b/>
          <w:bCs/>
          <w:color w:val="auto"/>
          <w:highlight w:val="none"/>
          <w:lang w:val="zh-TW"/>
        </w:rPr>
        <w:t>廉政条款</w:t>
      </w:r>
    </w:p>
    <w:p w14:paraId="5D27B983">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66A7EE8D">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2</w:t>
      </w:r>
      <w:r>
        <w:rPr>
          <w:rFonts w:hint="eastAsia"/>
          <w:b/>
          <w:bCs/>
          <w:color w:val="auto"/>
          <w:highlight w:val="none"/>
        </w:rPr>
        <w:t>.</w:t>
      </w:r>
      <w:r>
        <w:rPr>
          <w:rFonts w:hint="eastAsia"/>
          <w:b/>
          <w:bCs/>
          <w:color w:val="auto"/>
          <w:highlight w:val="none"/>
          <w:lang w:val="zh-TW"/>
        </w:rPr>
        <w:t>合同纠纷处理方式</w:t>
      </w:r>
    </w:p>
    <w:p w14:paraId="353C0C16">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ascii="Times New Roman" w:hAnsi="Times New Roman" w:cs="Times New Roman"/>
          <w:color w:val="auto"/>
          <w:highlight w:val="none"/>
        </w:rPr>
        <w:t>（1）</w:t>
      </w:r>
      <w:r>
        <w:rPr>
          <w:rFonts w:ascii="Times New Roman" w:hAnsi="Times New Roman" w:cs="Times New Roman"/>
          <w:color w:val="auto"/>
          <w:highlight w:val="none"/>
        </w:rPr>
        <w:t>采购人及</w:t>
      </w:r>
      <w:r>
        <w:rPr>
          <w:rFonts w:hint="eastAsia" w:ascii="Times New Roman" w:hAnsi="Times New Roman" w:cs="Times New Roman"/>
          <w:color w:val="auto"/>
          <w:highlight w:val="none"/>
        </w:rPr>
        <w:t>成交供应商</w:t>
      </w:r>
      <w:r>
        <w:rPr>
          <w:rFonts w:hint="eastAsia"/>
          <w:color w:val="auto"/>
          <w:highlight w:val="none"/>
          <w:lang w:val="zh-TW"/>
        </w:rPr>
        <w:t>双方必须认真履行合同条款。因本合同或与本合同有关的一切事项发生争议，由双方友好协商解决，协商不成的，任何一方均可向采购人所在地人民法院提起诉讼。</w:t>
      </w:r>
    </w:p>
    <w:p w14:paraId="4F1AE764">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color w:val="auto"/>
          <w:highlight w:val="none"/>
        </w:rPr>
        <w:t>（2）</w:t>
      </w:r>
      <w:r>
        <w:rPr>
          <w:rFonts w:hint="eastAsia"/>
          <w:color w:val="auto"/>
          <w:highlight w:val="none"/>
          <w:lang w:val="zh-TW"/>
        </w:rPr>
        <w:t>合同补充和修改：本合同生效后，双方对合同内容的变更或补充应采取书面形式，并经双方签字并盖章确认。</w:t>
      </w:r>
    </w:p>
    <w:p w14:paraId="745A9A6C">
      <w:pPr>
        <w:widowControl/>
        <w:spacing w:line="360" w:lineRule="auto"/>
        <w:rPr>
          <w:rFonts w:ascii="宋体" w:hAnsi="宋体"/>
          <w:b/>
          <w:bCs/>
          <w:color w:val="auto"/>
          <w:sz w:val="36"/>
          <w:szCs w:val="36"/>
          <w:highlight w:val="none"/>
        </w:rPr>
      </w:pPr>
    </w:p>
    <w:p w14:paraId="70C748C3">
      <w:pPr>
        <w:widowControl/>
        <w:spacing w:line="360" w:lineRule="auto"/>
        <w:jc w:val="center"/>
        <w:rPr>
          <w:rFonts w:ascii="宋体" w:hAnsi="宋体"/>
          <w:b/>
          <w:bCs/>
          <w:color w:val="auto"/>
          <w:sz w:val="36"/>
          <w:szCs w:val="36"/>
          <w:highlight w:val="none"/>
        </w:rPr>
      </w:pPr>
    </w:p>
    <w:p w14:paraId="60022072">
      <w:pPr>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5828F803">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14:paraId="696D08A4">
      <w:pPr>
        <w:snapToGrid w:val="0"/>
        <w:spacing w:line="360" w:lineRule="auto"/>
        <w:jc w:val="center"/>
        <w:outlineLvl w:val="1"/>
        <w:rPr>
          <w:rFonts w:ascii="宋体" w:hAnsi="宋体" w:cs="宋体"/>
          <w:b/>
          <w:color w:val="auto"/>
          <w:sz w:val="24"/>
          <w:highlight w:val="none"/>
        </w:rPr>
      </w:pPr>
      <w:bookmarkStart w:id="12" w:name="_Toc30978"/>
      <w:r>
        <w:rPr>
          <w:rFonts w:hint="eastAsia" w:ascii="宋体" w:hAnsi="宋体" w:cs="宋体"/>
          <w:b/>
          <w:color w:val="auto"/>
          <w:sz w:val="24"/>
          <w:highlight w:val="none"/>
        </w:rPr>
        <w:t>（参考文本）</w:t>
      </w:r>
      <w:bookmarkEnd w:id="12"/>
    </w:p>
    <w:p w14:paraId="527BBBE4">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14:paraId="2038B88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14:paraId="3F8815FB">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14:paraId="6FC77B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14:paraId="04033BD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79"/>
        <w:gridCol w:w="2218"/>
        <w:gridCol w:w="1549"/>
        <w:gridCol w:w="1326"/>
        <w:gridCol w:w="1772"/>
        <w:gridCol w:w="659"/>
      </w:tblGrid>
      <w:tr w14:paraId="1696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73" w:type="pct"/>
            <w:vAlign w:val="center"/>
          </w:tcPr>
          <w:p w14:paraId="66F497B4">
            <w:pPr>
              <w:pStyle w:val="16"/>
              <w:wordWrap w:val="0"/>
              <w:spacing w:beforeAutospacing="0" w:afterAutospacing="0" w:line="360" w:lineRule="auto"/>
              <w:jc w:val="center"/>
              <w:rPr>
                <w:color w:val="auto"/>
                <w:highlight w:val="none"/>
              </w:rPr>
            </w:pPr>
            <w:r>
              <w:rPr>
                <w:rFonts w:hint="eastAsia"/>
                <w:color w:val="auto"/>
                <w:highlight w:val="none"/>
              </w:rPr>
              <w:t>合同包</w:t>
            </w:r>
          </w:p>
        </w:tc>
        <w:tc>
          <w:tcPr>
            <w:tcW w:w="473" w:type="pct"/>
            <w:vAlign w:val="center"/>
          </w:tcPr>
          <w:p w14:paraId="27AA8BCB">
            <w:pPr>
              <w:pStyle w:val="16"/>
              <w:wordWrap w:val="0"/>
              <w:spacing w:beforeAutospacing="0" w:afterAutospacing="0" w:line="360" w:lineRule="auto"/>
              <w:jc w:val="center"/>
              <w:rPr>
                <w:color w:val="auto"/>
                <w:highlight w:val="none"/>
              </w:rPr>
            </w:pPr>
            <w:r>
              <w:rPr>
                <w:rFonts w:hint="eastAsia"/>
                <w:color w:val="auto"/>
                <w:highlight w:val="none"/>
              </w:rPr>
              <w:t>品目号</w:t>
            </w:r>
          </w:p>
        </w:tc>
        <w:tc>
          <w:tcPr>
            <w:tcW w:w="1194" w:type="pct"/>
            <w:vAlign w:val="center"/>
          </w:tcPr>
          <w:p w14:paraId="0BBB5DEB">
            <w:pPr>
              <w:pStyle w:val="16"/>
              <w:wordWrap w:val="0"/>
              <w:spacing w:beforeAutospacing="0" w:afterAutospacing="0" w:line="360" w:lineRule="auto"/>
              <w:jc w:val="center"/>
              <w:rPr>
                <w:color w:val="auto"/>
                <w:highlight w:val="none"/>
              </w:rPr>
            </w:pPr>
            <w:r>
              <w:rPr>
                <w:rFonts w:hint="eastAsia"/>
                <w:color w:val="auto"/>
                <w:highlight w:val="none"/>
              </w:rPr>
              <w:t>服务名称</w:t>
            </w:r>
          </w:p>
        </w:tc>
        <w:tc>
          <w:tcPr>
            <w:tcW w:w="834" w:type="pct"/>
            <w:vAlign w:val="center"/>
          </w:tcPr>
          <w:p w14:paraId="0A0B3990">
            <w:pPr>
              <w:pStyle w:val="16"/>
              <w:wordWrap w:val="0"/>
              <w:spacing w:beforeAutospacing="0" w:afterAutospacing="0" w:line="360" w:lineRule="auto"/>
              <w:jc w:val="center"/>
              <w:rPr>
                <w:color w:val="auto"/>
                <w:highlight w:val="none"/>
              </w:rPr>
            </w:pPr>
            <w:r>
              <w:rPr>
                <w:rFonts w:hint="eastAsia"/>
                <w:color w:val="auto"/>
                <w:highlight w:val="none"/>
              </w:rPr>
              <w:t>数量（单位）</w:t>
            </w:r>
          </w:p>
        </w:tc>
        <w:tc>
          <w:tcPr>
            <w:tcW w:w="714" w:type="pct"/>
            <w:vAlign w:val="center"/>
          </w:tcPr>
          <w:p w14:paraId="38BB565A">
            <w:pPr>
              <w:pStyle w:val="16"/>
              <w:wordWrap w:val="0"/>
              <w:spacing w:beforeAutospacing="0" w:afterAutospacing="0" w:line="360" w:lineRule="auto"/>
              <w:jc w:val="center"/>
              <w:rPr>
                <w:color w:val="auto"/>
                <w:highlight w:val="none"/>
              </w:rPr>
            </w:pPr>
            <w:r>
              <w:rPr>
                <w:rFonts w:hint="eastAsia"/>
                <w:color w:val="auto"/>
                <w:highlight w:val="none"/>
              </w:rPr>
              <w:t>单价（元）</w:t>
            </w:r>
          </w:p>
        </w:tc>
        <w:tc>
          <w:tcPr>
            <w:tcW w:w="954" w:type="pct"/>
            <w:vAlign w:val="center"/>
          </w:tcPr>
          <w:p w14:paraId="33942710">
            <w:pPr>
              <w:pStyle w:val="16"/>
              <w:wordWrap w:val="0"/>
              <w:spacing w:beforeAutospacing="0" w:afterAutospacing="0" w:line="360" w:lineRule="auto"/>
              <w:jc w:val="center"/>
              <w:rPr>
                <w:color w:val="auto"/>
                <w:highlight w:val="none"/>
              </w:rPr>
            </w:pPr>
            <w:r>
              <w:rPr>
                <w:rFonts w:hint="eastAsia"/>
                <w:color w:val="auto"/>
                <w:highlight w:val="none"/>
              </w:rPr>
              <w:t>合同金额（元）</w:t>
            </w:r>
          </w:p>
        </w:tc>
        <w:tc>
          <w:tcPr>
            <w:tcW w:w="354" w:type="pct"/>
            <w:vAlign w:val="center"/>
          </w:tcPr>
          <w:p w14:paraId="5DED1884">
            <w:pPr>
              <w:pStyle w:val="16"/>
              <w:wordWrap w:val="0"/>
              <w:spacing w:beforeAutospacing="0" w:afterAutospacing="0" w:line="360" w:lineRule="auto"/>
              <w:jc w:val="center"/>
              <w:rPr>
                <w:color w:val="auto"/>
                <w:highlight w:val="none"/>
              </w:rPr>
            </w:pPr>
            <w:r>
              <w:rPr>
                <w:rFonts w:hint="eastAsia"/>
                <w:color w:val="auto"/>
                <w:highlight w:val="none"/>
              </w:rPr>
              <w:t>备注</w:t>
            </w:r>
          </w:p>
        </w:tc>
      </w:tr>
      <w:tr w14:paraId="7CD8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vAlign w:val="center"/>
          </w:tcPr>
          <w:p w14:paraId="061CC0F1">
            <w:pPr>
              <w:pStyle w:val="16"/>
              <w:wordWrap w:val="0"/>
              <w:spacing w:beforeAutospacing="0" w:afterAutospacing="0" w:line="360" w:lineRule="auto"/>
              <w:jc w:val="center"/>
              <w:rPr>
                <w:color w:val="auto"/>
                <w:highlight w:val="none"/>
              </w:rPr>
            </w:pPr>
            <w:r>
              <w:rPr>
                <w:rFonts w:hint="eastAsia"/>
                <w:color w:val="auto"/>
                <w:highlight w:val="none"/>
              </w:rPr>
              <w:t>1</w:t>
            </w:r>
          </w:p>
        </w:tc>
        <w:tc>
          <w:tcPr>
            <w:tcW w:w="473" w:type="pct"/>
            <w:vAlign w:val="center"/>
          </w:tcPr>
          <w:p w14:paraId="4894BEAB">
            <w:pPr>
              <w:spacing w:line="360" w:lineRule="auto"/>
              <w:jc w:val="center"/>
              <w:rPr>
                <w:rFonts w:cs="宋体"/>
                <w:color w:val="auto"/>
                <w:highlight w:val="none"/>
              </w:rPr>
            </w:pPr>
          </w:p>
        </w:tc>
        <w:tc>
          <w:tcPr>
            <w:tcW w:w="1194" w:type="pct"/>
            <w:vAlign w:val="center"/>
          </w:tcPr>
          <w:p w14:paraId="3B22AF96">
            <w:pPr>
              <w:widowControl/>
              <w:spacing w:line="360" w:lineRule="auto"/>
              <w:jc w:val="center"/>
              <w:textAlignment w:val="center"/>
              <w:rPr>
                <w:rFonts w:cs="宋体"/>
                <w:color w:val="auto"/>
                <w:highlight w:val="none"/>
              </w:rPr>
            </w:pPr>
          </w:p>
        </w:tc>
        <w:tc>
          <w:tcPr>
            <w:tcW w:w="834" w:type="pct"/>
            <w:vAlign w:val="center"/>
          </w:tcPr>
          <w:p w14:paraId="10790DBD">
            <w:pPr>
              <w:widowControl/>
              <w:spacing w:line="360" w:lineRule="auto"/>
              <w:jc w:val="center"/>
              <w:textAlignment w:val="center"/>
              <w:rPr>
                <w:rFonts w:cs="宋体"/>
                <w:color w:val="auto"/>
                <w:highlight w:val="none"/>
              </w:rPr>
            </w:pPr>
          </w:p>
        </w:tc>
        <w:tc>
          <w:tcPr>
            <w:tcW w:w="714" w:type="pct"/>
            <w:vAlign w:val="center"/>
          </w:tcPr>
          <w:p w14:paraId="59B977CF">
            <w:pPr>
              <w:pStyle w:val="16"/>
              <w:wordWrap w:val="0"/>
              <w:spacing w:beforeAutospacing="0" w:afterAutospacing="0" w:line="360" w:lineRule="auto"/>
              <w:jc w:val="center"/>
              <w:rPr>
                <w:color w:val="auto"/>
                <w:highlight w:val="none"/>
              </w:rPr>
            </w:pPr>
          </w:p>
        </w:tc>
        <w:tc>
          <w:tcPr>
            <w:tcW w:w="954" w:type="pct"/>
            <w:vAlign w:val="center"/>
          </w:tcPr>
          <w:p w14:paraId="4B275B08">
            <w:pPr>
              <w:pStyle w:val="16"/>
              <w:wordWrap w:val="0"/>
              <w:spacing w:beforeAutospacing="0" w:afterAutospacing="0" w:line="360" w:lineRule="auto"/>
              <w:jc w:val="center"/>
              <w:rPr>
                <w:color w:val="auto"/>
                <w:highlight w:val="none"/>
              </w:rPr>
            </w:pPr>
          </w:p>
        </w:tc>
        <w:tc>
          <w:tcPr>
            <w:tcW w:w="354" w:type="pct"/>
            <w:vAlign w:val="center"/>
          </w:tcPr>
          <w:p w14:paraId="7B9847E2">
            <w:pPr>
              <w:pStyle w:val="16"/>
              <w:wordWrap w:val="0"/>
              <w:spacing w:beforeAutospacing="0" w:afterAutospacing="0" w:line="360" w:lineRule="auto"/>
              <w:jc w:val="center"/>
              <w:rPr>
                <w:color w:val="auto"/>
                <w:highlight w:val="none"/>
              </w:rPr>
            </w:pPr>
          </w:p>
        </w:tc>
      </w:tr>
    </w:tbl>
    <w:p w14:paraId="7B947935">
      <w:pPr>
        <w:snapToGrid w:val="0"/>
        <w:spacing w:line="360" w:lineRule="auto"/>
        <w:ind w:firstLine="482" w:firstLineChars="200"/>
        <w:outlineLvl w:val="1"/>
        <w:rPr>
          <w:rFonts w:ascii="宋体" w:hAnsi="宋体" w:cs="宋体"/>
          <w:b/>
          <w:color w:val="auto"/>
          <w:sz w:val="24"/>
          <w:highlight w:val="none"/>
        </w:rPr>
      </w:pPr>
      <w:bookmarkStart w:id="13" w:name="_Toc6480"/>
      <w:r>
        <w:rPr>
          <w:rFonts w:hint="eastAsia" w:ascii="宋体" w:hAnsi="宋体" w:cs="宋体"/>
          <w:b/>
          <w:color w:val="auto"/>
          <w:sz w:val="24"/>
          <w:highlight w:val="none"/>
        </w:rPr>
        <w:t>2、交货地点及交货时间</w:t>
      </w:r>
      <w:bookmarkEnd w:id="13"/>
    </w:p>
    <w:p w14:paraId="09462AD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2.1交货地点：</w:t>
      </w:r>
    </w:p>
    <w:p w14:paraId="3DF63A1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2.2服务期限：</w:t>
      </w:r>
    </w:p>
    <w:p w14:paraId="5051D155">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3、交货方式：</w:t>
      </w:r>
    </w:p>
    <w:p w14:paraId="39AD4D99">
      <w:pPr>
        <w:spacing w:line="360" w:lineRule="auto"/>
        <w:ind w:firstLine="482" w:firstLineChars="200"/>
        <w:outlineLvl w:val="1"/>
        <w:rPr>
          <w:rFonts w:ascii="宋体" w:hAnsi="宋体" w:cs="宋体"/>
          <w:color w:val="auto"/>
          <w:sz w:val="24"/>
          <w:highlight w:val="none"/>
        </w:rPr>
      </w:pPr>
      <w:bookmarkStart w:id="14" w:name="_Toc15649"/>
      <w:r>
        <w:rPr>
          <w:rFonts w:hint="eastAsia" w:ascii="宋体" w:hAnsi="宋体" w:cs="宋体"/>
          <w:b/>
          <w:bCs/>
          <w:color w:val="auto"/>
          <w:sz w:val="24"/>
          <w:highlight w:val="none"/>
        </w:rPr>
        <w:t>4、项目联系人：</w:t>
      </w:r>
      <w:bookmarkEnd w:id="14"/>
    </w:p>
    <w:p w14:paraId="0BF4953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5、履约保证金：</w:t>
      </w:r>
    </w:p>
    <w:p w14:paraId="569EC251">
      <w:pPr>
        <w:spacing w:line="360" w:lineRule="auto"/>
        <w:ind w:firstLine="482" w:firstLineChars="200"/>
        <w:outlineLvl w:val="1"/>
        <w:rPr>
          <w:rFonts w:ascii="宋体" w:hAnsi="宋体" w:cs="宋体"/>
          <w:b/>
          <w:bCs/>
          <w:color w:val="auto"/>
          <w:sz w:val="24"/>
          <w:highlight w:val="none"/>
        </w:rPr>
      </w:pPr>
      <w:bookmarkStart w:id="15" w:name="_Toc4463"/>
      <w:r>
        <w:rPr>
          <w:rFonts w:hint="eastAsia" w:ascii="宋体" w:hAnsi="宋体" w:cs="宋体"/>
          <w:b/>
          <w:bCs/>
          <w:color w:val="auto"/>
          <w:sz w:val="24"/>
          <w:highlight w:val="none"/>
        </w:rPr>
        <w:t>6、结算与付款方式：</w:t>
      </w:r>
      <w:bookmarkEnd w:id="15"/>
    </w:p>
    <w:p w14:paraId="70AD539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14:paraId="238A9F1A">
      <w:pPr>
        <w:spacing w:line="360" w:lineRule="auto"/>
        <w:rPr>
          <w:rFonts w:ascii="宋体" w:hAnsi="宋体" w:cs="宋体"/>
          <w:color w:val="auto"/>
          <w:sz w:val="24"/>
          <w:highlight w:val="none"/>
        </w:rPr>
      </w:pPr>
    </w:p>
    <w:p w14:paraId="1086CD2C">
      <w:pPr>
        <w:tabs>
          <w:tab w:val="left" w:pos="0"/>
        </w:tabs>
        <w:spacing w:line="360" w:lineRule="auto"/>
        <w:ind w:firstLine="482" w:firstLineChars="200"/>
        <w:rPr>
          <w:rFonts w:ascii="宋体" w:hAnsi="宋体" w:cs="宋体"/>
          <w:color w:val="auto"/>
          <w:sz w:val="24"/>
          <w:highlight w:val="none"/>
        </w:rPr>
      </w:pPr>
      <w:bookmarkStart w:id="16" w:name="_Toc11125"/>
      <w:r>
        <w:rPr>
          <w:rFonts w:hint="eastAsia" w:ascii="宋体" w:hAnsi="宋体" w:cs="宋体"/>
          <w:b/>
          <w:bCs/>
          <w:color w:val="auto"/>
          <w:sz w:val="24"/>
          <w:highlight w:val="none"/>
        </w:rPr>
        <w:t>8、验收要求</w:t>
      </w:r>
      <w:bookmarkEnd w:id="16"/>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574858BE">
      <w:pPr>
        <w:spacing w:line="360" w:lineRule="auto"/>
        <w:ind w:firstLine="482" w:firstLineChars="200"/>
        <w:outlineLvl w:val="1"/>
        <w:rPr>
          <w:rFonts w:ascii="宋体" w:hAnsi="宋体" w:cs="宋体"/>
          <w:b/>
          <w:bCs/>
          <w:color w:val="auto"/>
          <w:sz w:val="24"/>
          <w:highlight w:val="none"/>
        </w:rPr>
      </w:pPr>
      <w:bookmarkStart w:id="17" w:name="_Toc26908"/>
      <w:r>
        <w:rPr>
          <w:rFonts w:hint="eastAsia" w:ascii="宋体" w:hAnsi="宋体" w:cs="宋体"/>
          <w:b/>
          <w:bCs/>
          <w:color w:val="auto"/>
          <w:sz w:val="24"/>
          <w:highlight w:val="none"/>
        </w:rPr>
        <w:t>9、违约责任</w:t>
      </w:r>
      <w:bookmarkEnd w:id="17"/>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52A03CBD">
      <w:pPr>
        <w:tabs>
          <w:tab w:val="left" w:pos="0"/>
        </w:tabs>
        <w:spacing w:line="360" w:lineRule="auto"/>
        <w:ind w:firstLine="482" w:firstLineChars="200"/>
        <w:outlineLvl w:val="1"/>
        <w:rPr>
          <w:rFonts w:ascii="宋体" w:hAnsi="宋体" w:cs="宋体"/>
          <w:b/>
          <w:bCs/>
          <w:color w:val="auto"/>
          <w:sz w:val="24"/>
          <w:highlight w:val="none"/>
        </w:rPr>
      </w:pPr>
      <w:bookmarkStart w:id="18" w:name="_Toc25786"/>
    </w:p>
    <w:p w14:paraId="6B8D254E">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10、</w:t>
      </w:r>
      <w:bookmarkEnd w:id="18"/>
      <w:r>
        <w:rPr>
          <w:rFonts w:hint="eastAsia" w:ascii="宋体" w:hAnsi="宋体" w:cs="宋体"/>
          <w:b/>
          <w:bCs/>
          <w:color w:val="auto"/>
          <w:sz w:val="24"/>
          <w:highlight w:val="none"/>
        </w:rPr>
        <w:t>专利权及知识产权（</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2FDC9BDF">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14:paraId="0B97C78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14:paraId="51FA4D7B">
      <w:pPr>
        <w:spacing w:line="360" w:lineRule="auto"/>
        <w:ind w:firstLine="482" w:firstLineChars="200"/>
        <w:outlineLvl w:val="1"/>
        <w:rPr>
          <w:rFonts w:ascii="宋体" w:hAnsi="宋体" w:cs="宋体"/>
          <w:b/>
          <w:bCs/>
          <w:color w:val="auto"/>
          <w:sz w:val="24"/>
          <w:highlight w:val="none"/>
        </w:rPr>
      </w:pPr>
      <w:bookmarkStart w:id="19" w:name="_Toc1392"/>
      <w:r>
        <w:rPr>
          <w:rFonts w:hint="eastAsia" w:ascii="宋体" w:hAnsi="宋体" w:cs="宋体"/>
          <w:b/>
          <w:bCs/>
          <w:color w:val="auto"/>
          <w:sz w:val="24"/>
          <w:highlight w:val="none"/>
        </w:rPr>
        <w:t>12、合同解除条件</w:t>
      </w:r>
      <w:bookmarkEnd w:id="19"/>
    </w:p>
    <w:p w14:paraId="232DF505">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12.1乙方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14:paraId="39143F8A">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12</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14:paraId="6F3D431A">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14:paraId="07C320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14:paraId="640F601D">
      <w:pPr>
        <w:spacing w:line="360" w:lineRule="auto"/>
        <w:ind w:firstLine="482" w:firstLineChars="200"/>
        <w:outlineLvl w:val="1"/>
        <w:rPr>
          <w:rFonts w:ascii="宋体" w:hAnsi="宋体" w:cs="宋体"/>
          <w:b/>
          <w:bCs/>
          <w:color w:val="auto"/>
          <w:sz w:val="24"/>
          <w:highlight w:val="none"/>
        </w:rPr>
      </w:pPr>
      <w:bookmarkStart w:id="20" w:name="_Toc5467"/>
      <w:r>
        <w:rPr>
          <w:rFonts w:hint="eastAsia" w:ascii="宋体" w:hAnsi="宋体" w:cs="宋体"/>
          <w:b/>
          <w:bCs/>
          <w:color w:val="auto"/>
          <w:sz w:val="24"/>
          <w:highlight w:val="none"/>
        </w:rPr>
        <w:t>13、不可抗力</w:t>
      </w:r>
      <w:bookmarkEnd w:id="20"/>
    </w:p>
    <w:p w14:paraId="5CDBB043">
      <w:pPr>
        <w:pStyle w:val="16"/>
        <w:spacing w:before="0" w:beforeAutospacing="0" w:after="0" w:afterAutospacing="0" w:line="360" w:lineRule="auto"/>
        <w:ind w:firstLine="480" w:firstLineChars="200"/>
        <w:rPr>
          <w:color w:val="auto"/>
          <w:highlight w:val="none"/>
          <w:lang w:val="zh-TW"/>
        </w:rPr>
      </w:pPr>
      <w:bookmarkStart w:id="21"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2884CD39">
      <w:pPr>
        <w:pStyle w:val="16"/>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6E438EFD">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14、合同纠纷处理方式</w:t>
      </w:r>
      <w:bookmarkEnd w:id="21"/>
    </w:p>
    <w:p w14:paraId="6AFAE3AF">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14:paraId="3791D7C5">
      <w:pPr>
        <w:tabs>
          <w:tab w:val="left" w:pos="0"/>
        </w:tabs>
        <w:spacing w:line="360" w:lineRule="auto"/>
        <w:ind w:firstLine="482" w:firstLineChars="200"/>
        <w:outlineLvl w:val="1"/>
        <w:rPr>
          <w:rFonts w:ascii="宋体" w:hAnsi="宋体" w:cs="宋体"/>
          <w:b/>
          <w:bCs/>
          <w:color w:val="auto"/>
          <w:sz w:val="24"/>
          <w:highlight w:val="none"/>
        </w:rPr>
      </w:pPr>
      <w:bookmarkStart w:id="22" w:name="_Toc8403"/>
      <w:r>
        <w:rPr>
          <w:rFonts w:hint="eastAsia" w:ascii="宋体" w:hAnsi="宋体" w:cs="宋体"/>
          <w:b/>
          <w:bCs/>
          <w:color w:val="auto"/>
          <w:sz w:val="24"/>
          <w:highlight w:val="none"/>
        </w:rPr>
        <w:t>15、保密要求</w:t>
      </w:r>
      <w:bookmarkEnd w:id="22"/>
    </w:p>
    <w:p w14:paraId="25AFA417">
      <w:pPr>
        <w:pStyle w:val="16"/>
        <w:spacing w:before="0" w:beforeAutospacing="0" w:after="0" w:afterAutospacing="0" w:line="360" w:lineRule="auto"/>
        <w:ind w:firstLine="480" w:firstLineChars="200"/>
        <w:rPr>
          <w:color w:val="auto"/>
          <w:highlight w:val="none"/>
        </w:rPr>
      </w:pPr>
      <w:bookmarkStart w:id="23"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14:paraId="5B5D3EDC">
      <w:pPr>
        <w:pStyle w:val="16"/>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14:paraId="798311EF">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14:paraId="528FE10F">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16、廉政条款</w:t>
      </w:r>
      <w:bookmarkEnd w:id="23"/>
    </w:p>
    <w:p w14:paraId="34E2F141">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14:paraId="00B7F8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14:paraId="4400B6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14:paraId="3489D1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14:paraId="3D0656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14:paraId="01AB40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14:paraId="152139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14:paraId="567A4C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14:paraId="629C62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14:paraId="12B709FA">
      <w:pPr>
        <w:pStyle w:val="18"/>
        <w:spacing w:line="360" w:lineRule="auto"/>
        <w:ind w:firstLine="480" w:firstLineChars="200"/>
        <w:jc w:val="both"/>
        <w:rPr>
          <w:rFonts w:ascii="宋体" w:hAnsi="宋体" w:cs="宋体"/>
          <w:color w:val="auto"/>
          <w:sz w:val="36"/>
          <w:szCs w:val="36"/>
          <w:highlight w:val="none"/>
        </w:rPr>
      </w:pPr>
      <w:bookmarkStart w:id="24" w:name="_Toc30271"/>
      <w:r>
        <w:rPr>
          <w:rFonts w:hint="eastAsia" w:ascii="宋体" w:hAnsi="宋体" w:cs="宋体"/>
          <w:b w:val="0"/>
          <w:bCs w:val="0"/>
          <w:color w:val="auto"/>
          <w:sz w:val="24"/>
          <w:szCs w:val="24"/>
          <w:highlight w:val="none"/>
        </w:rPr>
        <w:t>账    号：                            账    号：</w:t>
      </w:r>
      <w:bookmarkEnd w:id="24"/>
    </w:p>
    <w:p w14:paraId="67D7C73B">
      <w:pPr>
        <w:pStyle w:val="20"/>
        <w:spacing w:line="360" w:lineRule="auto"/>
        <w:rPr>
          <w:color w:val="auto"/>
          <w:sz w:val="24"/>
          <w:highlight w:val="none"/>
        </w:rPr>
      </w:pPr>
    </w:p>
    <w:p w14:paraId="0D798B4F">
      <w:pPr>
        <w:pStyle w:val="20"/>
        <w:spacing w:line="360" w:lineRule="auto"/>
        <w:rPr>
          <w:color w:val="auto"/>
          <w:highlight w:val="none"/>
        </w:rPr>
      </w:pPr>
    </w:p>
    <w:p w14:paraId="5230B5F3">
      <w:pPr>
        <w:pStyle w:val="20"/>
        <w:spacing w:line="360" w:lineRule="auto"/>
        <w:rPr>
          <w:color w:val="auto"/>
          <w:highlight w:val="none"/>
        </w:rPr>
      </w:pPr>
    </w:p>
    <w:p w14:paraId="30855842">
      <w:pPr>
        <w:pStyle w:val="20"/>
        <w:spacing w:line="360" w:lineRule="auto"/>
        <w:rPr>
          <w:color w:val="auto"/>
          <w:highlight w:val="none"/>
        </w:rPr>
      </w:pPr>
    </w:p>
    <w:p w14:paraId="076BAB91">
      <w:pPr>
        <w:pStyle w:val="20"/>
        <w:spacing w:line="360" w:lineRule="auto"/>
        <w:rPr>
          <w:color w:val="auto"/>
          <w:highlight w:val="none"/>
        </w:rPr>
      </w:pPr>
    </w:p>
    <w:p w14:paraId="7B14EBA3">
      <w:pPr>
        <w:pStyle w:val="20"/>
        <w:spacing w:line="360" w:lineRule="auto"/>
        <w:rPr>
          <w:color w:val="auto"/>
          <w:highlight w:val="none"/>
        </w:rPr>
      </w:pPr>
    </w:p>
    <w:p w14:paraId="06EC2539">
      <w:pPr>
        <w:pStyle w:val="20"/>
        <w:spacing w:line="360" w:lineRule="auto"/>
        <w:rPr>
          <w:color w:val="auto"/>
          <w:highlight w:val="none"/>
        </w:rPr>
      </w:pPr>
    </w:p>
    <w:p w14:paraId="04831366">
      <w:pPr>
        <w:pStyle w:val="20"/>
        <w:spacing w:line="360" w:lineRule="auto"/>
        <w:rPr>
          <w:color w:val="auto"/>
          <w:highlight w:val="none"/>
        </w:rPr>
      </w:pPr>
    </w:p>
    <w:p w14:paraId="2493194D">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3324B85D">
      <w:pPr>
        <w:pStyle w:val="9"/>
        <w:spacing w:line="360" w:lineRule="auto"/>
        <w:rPr>
          <w:rFonts w:ascii="宋体" w:hAnsi="宋体" w:cs="宋体"/>
          <w:b/>
          <w:color w:val="auto"/>
          <w:kern w:val="0"/>
          <w:sz w:val="24"/>
          <w:highlight w:val="none"/>
        </w:rPr>
      </w:pPr>
    </w:p>
    <w:p w14:paraId="03DDD3E0">
      <w:pPr>
        <w:adjustRightInd w:val="0"/>
        <w:snapToGrid w:val="0"/>
        <w:spacing w:line="360" w:lineRule="auto"/>
        <w:rPr>
          <w:rFonts w:ascii="宋体" w:hAnsi="宋体" w:cs="宋体"/>
          <w:color w:val="auto"/>
          <w:sz w:val="24"/>
          <w:highlight w:val="none"/>
        </w:rPr>
      </w:pPr>
    </w:p>
    <w:p w14:paraId="343391DB">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49A6FAA9">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1381664B">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0360C607">
      <w:pPr>
        <w:spacing w:line="360" w:lineRule="auto"/>
        <w:rPr>
          <w:color w:val="auto"/>
          <w:highlight w:val="none"/>
        </w:rPr>
      </w:pPr>
    </w:p>
    <w:p w14:paraId="5ADC5117">
      <w:pPr>
        <w:pStyle w:val="3"/>
        <w:spacing w:line="360" w:lineRule="auto"/>
        <w:rPr>
          <w:color w:val="auto"/>
          <w:highlight w:val="none"/>
        </w:rPr>
      </w:pPr>
    </w:p>
    <w:p w14:paraId="31EE65B7">
      <w:pPr>
        <w:spacing w:line="360" w:lineRule="auto"/>
        <w:rPr>
          <w:color w:val="auto"/>
          <w:highlight w:val="none"/>
        </w:rPr>
      </w:pPr>
    </w:p>
    <w:p w14:paraId="1218DBB2">
      <w:pPr>
        <w:pStyle w:val="3"/>
        <w:spacing w:line="360" w:lineRule="auto"/>
        <w:rPr>
          <w:color w:val="auto"/>
          <w:highlight w:val="none"/>
        </w:rPr>
      </w:pPr>
    </w:p>
    <w:p w14:paraId="436F3B23">
      <w:pPr>
        <w:spacing w:line="360" w:lineRule="auto"/>
        <w:rPr>
          <w:color w:val="auto"/>
          <w:highlight w:val="none"/>
        </w:rPr>
      </w:pPr>
    </w:p>
    <w:p w14:paraId="31198C7A">
      <w:pPr>
        <w:pStyle w:val="4"/>
        <w:spacing w:line="360" w:lineRule="auto"/>
        <w:rPr>
          <w:color w:val="auto"/>
          <w:highlight w:val="none"/>
        </w:rPr>
      </w:pPr>
    </w:p>
    <w:p w14:paraId="2BF8FF96">
      <w:pPr>
        <w:spacing w:line="360" w:lineRule="auto"/>
        <w:rPr>
          <w:color w:val="auto"/>
          <w:highlight w:val="none"/>
        </w:rPr>
      </w:pPr>
    </w:p>
    <w:p w14:paraId="32E3DC5F">
      <w:pPr>
        <w:pStyle w:val="4"/>
        <w:spacing w:line="360" w:lineRule="auto"/>
        <w:rPr>
          <w:color w:val="auto"/>
          <w:highlight w:val="none"/>
        </w:rPr>
      </w:pPr>
    </w:p>
    <w:p w14:paraId="43150994">
      <w:pPr>
        <w:spacing w:line="360" w:lineRule="auto"/>
        <w:rPr>
          <w:color w:val="auto"/>
          <w:highlight w:val="none"/>
        </w:rPr>
      </w:pPr>
    </w:p>
    <w:p w14:paraId="45E72F3E">
      <w:pPr>
        <w:pStyle w:val="4"/>
        <w:spacing w:line="360" w:lineRule="auto"/>
        <w:rPr>
          <w:color w:val="auto"/>
          <w:highlight w:val="none"/>
        </w:rPr>
      </w:pPr>
    </w:p>
    <w:p w14:paraId="0489DB7A">
      <w:pPr>
        <w:spacing w:line="360" w:lineRule="auto"/>
        <w:rPr>
          <w:color w:val="auto"/>
          <w:highlight w:val="none"/>
        </w:rPr>
      </w:pPr>
    </w:p>
    <w:p w14:paraId="75B69FBE">
      <w:pPr>
        <w:spacing w:line="360" w:lineRule="auto"/>
        <w:rPr>
          <w:color w:val="auto"/>
          <w:highlight w:val="none"/>
        </w:rPr>
      </w:pPr>
    </w:p>
    <w:p w14:paraId="4C2DD448">
      <w:pPr>
        <w:pStyle w:val="19"/>
        <w:spacing w:line="360" w:lineRule="auto"/>
        <w:ind w:firstLine="210"/>
        <w:rPr>
          <w:color w:val="auto"/>
          <w:highlight w:val="none"/>
        </w:rPr>
      </w:pPr>
    </w:p>
    <w:p w14:paraId="779BD672">
      <w:pPr>
        <w:pStyle w:val="5"/>
        <w:spacing w:line="360" w:lineRule="auto"/>
        <w:rPr>
          <w:color w:val="auto"/>
          <w:highlight w:val="none"/>
        </w:rPr>
      </w:pPr>
    </w:p>
    <w:p w14:paraId="230A107C">
      <w:pPr>
        <w:pStyle w:val="6"/>
        <w:spacing w:line="360" w:lineRule="auto"/>
        <w:rPr>
          <w:color w:val="auto"/>
          <w:highlight w:val="none"/>
        </w:rPr>
      </w:pPr>
    </w:p>
    <w:p w14:paraId="59D7447F">
      <w:pPr>
        <w:pStyle w:val="5"/>
        <w:spacing w:line="360" w:lineRule="auto"/>
        <w:rPr>
          <w:color w:val="auto"/>
          <w:highlight w:val="none"/>
        </w:rPr>
      </w:pPr>
    </w:p>
    <w:p w14:paraId="5FE5CEBD">
      <w:pPr>
        <w:spacing w:line="360" w:lineRule="auto"/>
        <w:jc w:val="center"/>
        <w:rPr>
          <w:rFonts w:ascii="黑体" w:hAnsi="黑体" w:eastAsia="黑体"/>
          <w:color w:val="auto"/>
          <w:sz w:val="96"/>
          <w:szCs w:val="96"/>
          <w:highlight w:val="none"/>
        </w:rPr>
      </w:pPr>
    </w:p>
    <w:p w14:paraId="71BFB935">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1EB25C3F">
      <w:pPr>
        <w:pStyle w:val="29"/>
        <w:spacing w:after="120" w:line="360" w:lineRule="auto"/>
        <w:outlineLvl w:val="9"/>
        <w:rPr>
          <w:rStyle w:val="30"/>
          <w:rFonts w:hAnsi="宋体" w:cs="宋体"/>
          <w:b/>
          <w:bCs/>
          <w:color w:val="auto"/>
          <w:sz w:val="44"/>
          <w:szCs w:val="44"/>
          <w:highlight w:val="none"/>
        </w:rPr>
      </w:pPr>
    </w:p>
    <w:p w14:paraId="16576AC0">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（第一部分  资格及技术商务部分）</w:t>
      </w:r>
    </w:p>
    <w:p w14:paraId="0B15A32D">
      <w:pPr>
        <w:spacing w:line="360" w:lineRule="auto"/>
        <w:ind w:firstLine="1920" w:firstLineChars="200"/>
        <w:jc w:val="left"/>
        <w:rPr>
          <w:color w:val="auto"/>
          <w:sz w:val="96"/>
          <w:szCs w:val="96"/>
          <w:highlight w:val="none"/>
        </w:rPr>
      </w:pPr>
    </w:p>
    <w:p w14:paraId="0F4651F1">
      <w:pPr>
        <w:spacing w:line="360" w:lineRule="auto"/>
        <w:ind w:firstLine="1920" w:firstLineChars="200"/>
        <w:jc w:val="left"/>
        <w:rPr>
          <w:color w:val="auto"/>
          <w:sz w:val="96"/>
          <w:szCs w:val="96"/>
          <w:highlight w:val="none"/>
        </w:rPr>
      </w:pPr>
    </w:p>
    <w:p w14:paraId="2B0CA730">
      <w:pPr>
        <w:pStyle w:val="11"/>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113C3A3E">
      <w:pPr>
        <w:pStyle w:val="11"/>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1C321585">
      <w:pPr>
        <w:pStyle w:val="11"/>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4CA7DA4B">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031B6436">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14:paraId="736F8C92">
      <w:pPr>
        <w:pStyle w:val="3"/>
        <w:spacing w:line="360" w:lineRule="auto"/>
        <w:rPr>
          <w:color w:val="auto"/>
          <w:highlight w:val="none"/>
        </w:rPr>
      </w:pPr>
    </w:p>
    <w:p w14:paraId="52946021">
      <w:pPr>
        <w:pStyle w:val="29"/>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796B9C21">
      <w:pPr>
        <w:pStyle w:val="29"/>
        <w:spacing w:after="120" w:line="360" w:lineRule="auto"/>
        <w:outlineLvl w:val="9"/>
        <w:rPr>
          <w:rFonts w:hAnsi="宋体" w:cs="宋体"/>
          <w:b/>
          <w:color w:val="auto"/>
          <w:sz w:val="36"/>
          <w:highlight w:val="none"/>
        </w:rPr>
      </w:pPr>
    </w:p>
    <w:p w14:paraId="0F385209">
      <w:pPr>
        <w:pStyle w:val="29"/>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4DA656AF">
      <w:pPr>
        <w:pStyle w:val="29"/>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1CAF5908">
      <w:pPr>
        <w:pStyle w:val="29"/>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2159BA66">
      <w:pPr>
        <w:pStyle w:val="29"/>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63872200">
      <w:pPr>
        <w:pStyle w:val="29"/>
        <w:spacing w:line="360" w:lineRule="auto"/>
        <w:outlineLvl w:val="9"/>
        <w:rPr>
          <w:rFonts w:hAnsi="宋体" w:cs="宋体"/>
          <w:bCs/>
          <w:color w:val="auto"/>
          <w:sz w:val="24"/>
          <w:highlight w:val="none"/>
        </w:rPr>
      </w:pPr>
    </w:p>
    <w:p w14:paraId="52C18806">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14:paraId="6CF32AD7">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14:paraId="70DE3852">
      <w:pPr>
        <w:widowControl/>
        <w:shd w:val="clear" w:color="auto" w:fill="FFFFFF"/>
        <w:spacing w:line="360" w:lineRule="auto"/>
        <w:jc w:val="center"/>
        <w:rPr>
          <w:rFonts w:ascii="宋体" w:hAnsi="宋体" w:cs="宋体"/>
          <w:b/>
          <w:color w:val="auto"/>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14:paraId="420FB10B">
      <w:pPr>
        <w:widowControl/>
        <w:shd w:val="clear" w:color="auto" w:fill="FFFFFF"/>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2DB6C213">
      <w:pPr>
        <w:widowControl/>
        <w:shd w:val="clear" w:color="auto" w:fill="FFFFFF"/>
        <w:spacing w:line="360" w:lineRule="auto"/>
        <w:rPr>
          <w:rFonts w:ascii="宋体" w:hAnsi="宋体" w:cs="宋体"/>
          <w:b/>
          <w:color w:val="auto"/>
          <w:kern w:val="0"/>
          <w:sz w:val="28"/>
          <w:szCs w:val="28"/>
          <w:highlight w:val="none"/>
          <w:shd w:val="clear" w:color="auto" w:fill="FFFFFF"/>
        </w:rPr>
      </w:pPr>
    </w:p>
    <w:p w14:paraId="0167E34F">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36F90EF8">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733C2832">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3B1D310D">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7276052C">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621D2785">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00DB821B">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775C77FE">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14:paraId="544E9D83">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20428983">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1251A2E1">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433E239A">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297A865B">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755EECF6">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15BC85F9">
      <w:pPr>
        <w:widowControl/>
        <w:shd w:val="clear" w:color="auto" w:fill="FFFFFF"/>
        <w:spacing w:line="360" w:lineRule="auto"/>
        <w:jc w:val="left"/>
        <w:rPr>
          <w:rFonts w:ascii="宋体" w:hAnsi="宋体" w:cs="宋体"/>
          <w:color w:val="auto"/>
          <w:kern w:val="0"/>
          <w:sz w:val="24"/>
          <w:highlight w:val="none"/>
          <w:shd w:val="clear" w:color="auto" w:fill="FFFFFF"/>
        </w:rPr>
      </w:pPr>
    </w:p>
    <w:p w14:paraId="5DF59289">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2"/>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2572677E">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1DBD3004">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4B112AB7">
      <w:pPr>
        <w:spacing w:line="360" w:lineRule="auto"/>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14:paraId="40AE838B">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146E205D">
      <w:pPr>
        <w:pStyle w:val="29"/>
        <w:spacing w:line="360" w:lineRule="auto"/>
        <w:jc w:val="center"/>
        <w:outlineLvl w:val="9"/>
        <w:rPr>
          <w:rFonts w:hAnsi="宋体" w:cs="宋体"/>
          <w:b/>
          <w:color w:val="auto"/>
          <w:szCs w:val="28"/>
          <w:highlight w:val="none"/>
        </w:rPr>
      </w:pPr>
    </w:p>
    <w:p w14:paraId="63B9A4E5">
      <w:pPr>
        <w:spacing w:line="360" w:lineRule="auto"/>
        <w:rPr>
          <w:color w:val="auto"/>
          <w:highlight w:val="none"/>
        </w:rPr>
      </w:pPr>
    </w:p>
    <w:p w14:paraId="49451804">
      <w:pPr>
        <w:spacing w:line="360" w:lineRule="auto"/>
        <w:rPr>
          <w:color w:val="auto"/>
          <w:highlight w:val="none"/>
        </w:rPr>
      </w:pPr>
    </w:p>
    <w:p w14:paraId="24C5E8F1">
      <w:pPr>
        <w:spacing w:line="360" w:lineRule="auto"/>
        <w:rPr>
          <w:color w:val="auto"/>
          <w:highlight w:val="none"/>
        </w:rPr>
      </w:pPr>
    </w:p>
    <w:p w14:paraId="7292D3A6">
      <w:pPr>
        <w:tabs>
          <w:tab w:val="center" w:pos="4861"/>
        </w:tabs>
        <w:spacing w:line="360" w:lineRule="auto"/>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31D741B0">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5EB7EB5F">
      <w:pPr>
        <w:pStyle w:val="16"/>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146A3A0F">
      <w:pPr>
        <w:pStyle w:val="16"/>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1D10BB11">
      <w:pPr>
        <w:pStyle w:val="16"/>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4A65F598">
      <w:pPr>
        <w:pStyle w:val="16"/>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69391E14">
      <w:pPr>
        <w:pStyle w:val="16"/>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67EB9B43">
      <w:pPr>
        <w:pStyle w:val="16"/>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32525E4B">
      <w:pPr>
        <w:pStyle w:val="16"/>
        <w:spacing w:before="0" w:beforeAutospacing="0" w:after="0" w:afterAutospacing="0" w:line="360" w:lineRule="auto"/>
        <w:rPr>
          <w:color w:val="auto"/>
          <w:highlight w:val="none"/>
        </w:rPr>
      </w:pPr>
      <w:r>
        <w:rPr>
          <w:rFonts w:hint="eastAsia"/>
          <w:color w:val="auto"/>
          <w:highlight w:val="none"/>
        </w:rPr>
        <w:t> </w:t>
      </w:r>
    </w:p>
    <w:p w14:paraId="72B2168D">
      <w:pPr>
        <w:pStyle w:val="16"/>
        <w:spacing w:before="0" w:beforeAutospacing="0" w:after="0" w:afterAutospacing="0" w:line="360" w:lineRule="auto"/>
        <w:rPr>
          <w:color w:val="auto"/>
          <w:highlight w:val="none"/>
        </w:rPr>
      </w:pPr>
      <w:r>
        <w:rPr>
          <w:rFonts w:hint="eastAsia"/>
          <w:color w:val="auto"/>
          <w:highlight w:val="none"/>
        </w:rPr>
        <w:t>授权方</w:t>
      </w:r>
    </w:p>
    <w:p w14:paraId="660FF0B2">
      <w:pPr>
        <w:pStyle w:val="16"/>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664FA6C6">
      <w:pPr>
        <w:pStyle w:val="16"/>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21CD7C55">
      <w:pPr>
        <w:pStyle w:val="16"/>
        <w:spacing w:before="0" w:beforeAutospacing="0" w:after="0" w:afterAutospacing="0" w:line="360" w:lineRule="auto"/>
        <w:rPr>
          <w:color w:val="auto"/>
          <w:highlight w:val="none"/>
        </w:rPr>
      </w:pPr>
      <w:r>
        <w:rPr>
          <w:rFonts w:hint="eastAsia"/>
          <w:color w:val="auto"/>
          <w:highlight w:val="none"/>
        </w:rPr>
        <w:t> </w:t>
      </w:r>
    </w:p>
    <w:p w14:paraId="16BF9BEC">
      <w:pPr>
        <w:pStyle w:val="16"/>
        <w:spacing w:before="0" w:beforeAutospacing="0" w:after="0" w:afterAutospacing="0" w:line="360" w:lineRule="auto"/>
        <w:rPr>
          <w:color w:val="auto"/>
          <w:highlight w:val="none"/>
        </w:rPr>
      </w:pPr>
      <w:r>
        <w:rPr>
          <w:rFonts w:hint="eastAsia"/>
          <w:color w:val="auto"/>
          <w:highlight w:val="none"/>
        </w:rPr>
        <w:t>接受授权方</w:t>
      </w:r>
    </w:p>
    <w:p w14:paraId="56009499">
      <w:pPr>
        <w:pStyle w:val="16"/>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44B71B4E">
      <w:pPr>
        <w:pStyle w:val="16"/>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0C9E1E0B">
      <w:pPr>
        <w:pStyle w:val="16"/>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1"/>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250D8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14:paraId="12835EF5">
            <w:pPr>
              <w:pStyle w:val="16"/>
              <w:spacing w:before="0" w:beforeAutospacing="0" w:after="0" w:afterAutospacing="0" w:line="360" w:lineRule="auto"/>
              <w:jc w:val="center"/>
              <w:rPr>
                <w:color w:val="auto"/>
                <w:highlight w:val="none"/>
              </w:rPr>
            </w:pPr>
            <w:r>
              <w:rPr>
                <w:rStyle w:val="24"/>
                <w:rFonts w:hint="eastAsia"/>
                <w:color w:val="auto"/>
                <w:highlight w:val="none"/>
              </w:rPr>
              <w:t> </w:t>
            </w:r>
          </w:p>
          <w:p w14:paraId="5E4054B0">
            <w:pPr>
              <w:pStyle w:val="16"/>
              <w:spacing w:before="0" w:beforeAutospacing="0" w:after="0" w:afterAutospacing="0" w:line="360" w:lineRule="auto"/>
              <w:jc w:val="center"/>
              <w:rPr>
                <w:color w:val="auto"/>
                <w:highlight w:val="none"/>
              </w:rPr>
            </w:pPr>
            <w:r>
              <w:rPr>
                <w:rStyle w:val="24"/>
                <w:rFonts w:hint="eastAsia"/>
                <w:color w:val="auto"/>
                <w:highlight w:val="none"/>
              </w:rPr>
              <w:t>要求：真实有效且内容完整、清晰、整洁。</w:t>
            </w:r>
          </w:p>
          <w:p w14:paraId="7B5264FF">
            <w:pPr>
              <w:pStyle w:val="16"/>
              <w:spacing w:before="0" w:beforeAutospacing="0" w:after="0" w:afterAutospacing="0" w:line="360" w:lineRule="auto"/>
              <w:jc w:val="center"/>
              <w:rPr>
                <w:color w:val="auto"/>
                <w:highlight w:val="none"/>
              </w:rPr>
            </w:pPr>
            <w:r>
              <w:rPr>
                <w:rStyle w:val="24"/>
                <w:rFonts w:hint="eastAsia"/>
                <w:color w:val="auto"/>
                <w:highlight w:val="none"/>
              </w:rPr>
              <w:t> </w:t>
            </w:r>
          </w:p>
        </w:tc>
      </w:tr>
    </w:tbl>
    <w:p w14:paraId="50CEA891">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6423B96D">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4C827A44">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7D13F1A1">
      <w:pPr>
        <w:spacing w:line="360" w:lineRule="auto"/>
        <w:jc w:val="center"/>
        <w:outlineLvl w:val="2"/>
        <w:rPr>
          <w:rFonts w:ascii="宋体" w:hAnsi="宋体"/>
          <w:b/>
          <w:color w:val="auto"/>
          <w:sz w:val="32"/>
          <w:szCs w:val="22"/>
          <w:highlight w:val="none"/>
        </w:rPr>
      </w:pPr>
    </w:p>
    <w:p w14:paraId="1E9F52D5">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2CEE781B">
      <w:pPr>
        <w:spacing w:line="360" w:lineRule="auto"/>
        <w:jc w:val="center"/>
        <w:outlineLvl w:val="2"/>
        <w:rPr>
          <w:rFonts w:ascii="宋体" w:hAnsi="宋体"/>
          <w:b/>
          <w:color w:val="auto"/>
          <w:sz w:val="32"/>
          <w:szCs w:val="22"/>
          <w:highlight w:val="none"/>
        </w:rPr>
      </w:pPr>
    </w:p>
    <w:p w14:paraId="1D291DBD">
      <w:pPr>
        <w:spacing w:line="360" w:lineRule="auto"/>
        <w:jc w:val="center"/>
        <w:outlineLvl w:val="2"/>
        <w:rPr>
          <w:rFonts w:ascii="宋体" w:hAnsi="宋体"/>
          <w:b/>
          <w:color w:val="auto"/>
          <w:sz w:val="32"/>
          <w:szCs w:val="22"/>
          <w:highlight w:val="none"/>
        </w:rPr>
      </w:pPr>
    </w:p>
    <w:p w14:paraId="667D8EFB">
      <w:pPr>
        <w:spacing w:line="360" w:lineRule="auto"/>
        <w:jc w:val="center"/>
        <w:outlineLvl w:val="2"/>
        <w:rPr>
          <w:rFonts w:ascii="宋体" w:hAnsi="宋体"/>
          <w:b/>
          <w:color w:val="auto"/>
          <w:sz w:val="32"/>
          <w:szCs w:val="22"/>
          <w:highlight w:val="none"/>
        </w:rPr>
      </w:pPr>
    </w:p>
    <w:p w14:paraId="62DFE5D9">
      <w:pPr>
        <w:spacing w:line="360" w:lineRule="auto"/>
        <w:jc w:val="center"/>
        <w:outlineLvl w:val="2"/>
        <w:rPr>
          <w:rFonts w:ascii="宋体" w:hAnsi="宋体"/>
          <w:b/>
          <w:color w:val="auto"/>
          <w:sz w:val="32"/>
          <w:szCs w:val="22"/>
          <w:highlight w:val="none"/>
        </w:rPr>
      </w:pPr>
    </w:p>
    <w:p w14:paraId="45B9EF57">
      <w:pPr>
        <w:spacing w:line="360" w:lineRule="auto"/>
        <w:jc w:val="center"/>
        <w:outlineLvl w:val="2"/>
        <w:rPr>
          <w:rFonts w:ascii="宋体" w:hAnsi="宋体"/>
          <w:b/>
          <w:color w:val="auto"/>
          <w:sz w:val="32"/>
          <w:szCs w:val="22"/>
          <w:highlight w:val="none"/>
        </w:rPr>
      </w:pPr>
    </w:p>
    <w:p w14:paraId="798FDC2F">
      <w:pPr>
        <w:spacing w:line="360" w:lineRule="auto"/>
        <w:jc w:val="center"/>
        <w:outlineLvl w:val="2"/>
        <w:rPr>
          <w:rFonts w:ascii="宋体" w:hAnsi="宋体"/>
          <w:b/>
          <w:color w:val="auto"/>
          <w:sz w:val="32"/>
          <w:szCs w:val="22"/>
          <w:highlight w:val="none"/>
        </w:rPr>
      </w:pPr>
    </w:p>
    <w:p w14:paraId="6BB6CDA9">
      <w:pPr>
        <w:spacing w:line="360" w:lineRule="auto"/>
        <w:jc w:val="center"/>
        <w:outlineLvl w:val="2"/>
        <w:rPr>
          <w:rFonts w:ascii="宋体" w:hAnsi="宋体"/>
          <w:b/>
          <w:color w:val="auto"/>
          <w:sz w:val="32"/>
          <w:szCs w:val="22"/>
          <w:highlight w:val="none"/>
        </w:rPr>
      </w:pPr>
    </w:p>
    <w:p w14:paraId="5CEC8DE4">
      <w:pPr>
        <w:spacing w:line="360" w:lineRule="auto"/>
        <w:jc w:val="center"/>
        <w:outlineLvl w:val="2"/>
        <w:rPr>
          <w:rFonts w:ascii="宋体" w:hAnsi="宋体"/>
          <w:b/>
          <w:color w:val="auto"/>
          <w:sz w:val="32"/>
          <w:szCs w:val="22"/>
          <w:highlight w:val="none"/>
        </w:rPr>
      </w:pPr>
    </w:p>
    <w:p w14:paraId="44162675">
      <w:pPr>
        <w:spacing w:line="360" w:lineRule="auto"/>
        <w:jc w:val="center"/>
        <w:outlineLvl w:val="2"/>
        <w:rPr>
          <w:rFonts w:ascii="宋体" w:hAnsi="宋体"/>
          <w:b/>
          <w:color w:val="auto"/>
          <w:sz w:val="32"/>
          <w:szCs w:val="22"/>
          <w:highlight w:val="none"/>
        </w:rPr>
      </w:pPr>
    </w:p>
    <w:p w14:paraId="35AA5D32">
      <w:pPr>
        <w:spacing w:line="360" w:lineRule="auto"/>
        <w:jc w:val="center"/>
        <w:outlineLvl w:val="2"/>
        <w:rPr>
          <w:rFonts w:ascii="宋体" w:hAnsi="宋体"/>
          <w:b/>
          <w:color w:val="auto"/>
          <w:sz w:val="32"/>
          <w:szCs w:val="22"/>
          <w:highlight w:val="none"/>
        </w:rPr>
      </w:pPr>
    </w:p>
    <w:p w14:paraId="521B4AE2">
      <w:pPr>
        <w:spacing w:line="360" w:lineRule="auto"/>
        <w:jc w:val="center"/>
        <w:outlineLvl w:val="2"/>
        <w:rPr>
          <w:rFonts w:ascii="宋体" w:hAnsi="宋体"/>
          <w:b/>
          <w:color w:val="auto"/>
          <w:sz w:val="32"/>
          <w:szCs w:val="22"/>
          <w:highlight w:val="none"/>
        </w:rPr>
      </w:pPr>
    </w:p>
    <w:p w14:paraId="240737D1">
      <w:pPr>
        <w:spacing w:line="360" w:lineRule="auto"/>
        <w:jc w:val="center"/>
        <w:outlineLvl w:val="2"/>
        <w:rPr>
          <w:rFonts w:ascii="宋体" w:hAnsi="宋体"/>
          <w:b/>
          <w:color w:val="auto"/>
          <w:sz w:val="32"/>
          <w:szCs w:val="22"/>
          <w:highlight w:val="none"/>
        </w:rPr>
      </w:pPr>
    </w:p>
    <w:p w14:paraId="03FC525C">
      <w:pPr>
        <w:spacing w:line="360" w:lineRule="auto"/>
        <w:outlineLvl w:val="2"/>
        <w:rPr>
          <w:rFonts w:ascii="宋体" w:hAnsi="宋体"/>
          <w:b/>
          <w:color w:val="auto"/>
          <w:sz w:val="32"/>
          <w:szCs w:val="22"/>
          <w:highlight w:val="none"/>
        </w:rPr>
      </w:pPr>
    </w:p>
    <w:p w14:paraId="58944FFA">
      <w:pPr>
        <w:pStyle w:val="4"/>
        <w:spacing w:line="360" w:lineRule="auto"/>
        <w:rPr>
          <w:rFonts w:ascii="Times New Roman" w:hAnsi="Times New Roman"/>
          <w:color w:val="auto"/>
          <w:highlight w:val="none"/>
        </w:rPr>
      </w:pPr>
    </w:p>
    <w:p w14:paraId="2A3555A0">
      <w:pPr>
        <w:spacing w:line="360" w:lineRule="auto"/>
        <w:rPr>
          <w:rFonts w:ascii="Times New Roman" w:hAnsi="Times New Roman"/>
          <w:b/>
          <w:color w:val="auto"/>
          <w:sz w:val="32"/>
          <w:highlight w:val="none"/>
        </w:rPr>
      </w:pPr>
    </w:p>
    <w:p w14:paraId="0823B16B">
      <w:pPr>
        <w:pStyle w:val="4"/>
        <w:spacing w:line="360" w:lineRule="auto"/>
        <w:rPr>
          <w:rFonts w:ascii="Times New Roman" w:hAnsi="Times New Roman"/>
          <w:color w:val="auto"/>
          <w:highlight w:val="none"/>
        </w:rPr>
      </w:pPr>
    </w:p>
    <w:p w14:paraId="2B936CD7">
      <w:pPr>
        <w:spacing w:line="360" w:lineRule="auto"/>
        <w:rPr>
          <w:rFonts w:ascii="Times New Roman" w:hAnsi="Times New Roman"/>
          <w:b/>
          <w:color w:val="auto"/>
          <w:sz w:val="32"/>
          <w:highlight w:val="none"/>
        </w:rPr>
      </w:pPr>
    </w:p>
    <w:p w14:paraId="6F176A50">
      <w:pPr>
        <w:rPr>
          <w:rFonts w:ascii="宋体" w:hAnsi="宋体"/>
          <w:b/>
          <w:color w:val="auto"/>
          <w:sz w:val="28"/>
          <w:szCs w:val="28"/>
          <w:highlight w:val="none"/>
        </w:rPr>
      </w:pPr>
      <w:r>
        <w:rPr>
          <w:rFonts w:hint="eastAsia" w:ascii="宋体" w:hAnsi="宋体"/>
          <w:b/>
          <w:color w:val="auto"/>
          <w:sz w:val="28"/>
          <w:szCs w:val="28"/>
          <w:highlight w:val="none"/>
        </w:rPr>
        <w:br w:type="page"/>
      </w:r>
    </w:p>
    <w:p w14:paraId="3F47B802">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14:paraId="74AB1248">
      <w:pPr>
        <w:pStyle w:val="33"/>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rPr>
        <w:t>（1）</w:t>
      </w:r>
      <w:r>
        <w:rPr>
          <w:rFonts w:ascii="宋体" w:hAnsi="宋体" w:cs="宋体"/>
          <w:color w:val="auto"/>
          <w:sz w:val="24"/>
          <w:szCs w:val="24"/>
          <w:highlight w:val="none"/>
        </w:rPr>
        <w:t>标的说明一览表</w:t>
      </w:r>
    </w:p>
    <w:p w14:paraId="4E588D78">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1"/>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14:paraId="218EEC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37C374B2">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合同包</w:t>
            </w:r>
          </w:p>
        </w:tc>
        <w:tc>
          <w:tcPr>
            <w:tcW w:w="1014" w:type="dxa"/>
          </w:tcPr>
          <w:p w14:paraId="52A50EC6">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14:paraId="1B1F2427">
            <w:pPr>
              <w:pStyle w:val="33"/>
              <w:spacing w:line="360" w:lineRule="auto"/>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服务名称</w:t>
            </w:r>
          </w:p>
        </w:tc>
        <w:tc>
          <w:tcPr>
            <w:tcW w:w="2178" w:type="dxa"/>
          </w:tcPr>
          <w:p w14:paraId="0AF6E7B7">
            <w:pPr>
              <w:pStyle w:val="33"/>
              <w:spacing w:line="360" w:lineRule="auto"/>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服务期限</w:t>
            </w:r>
          </w:p>
        </w:tc>
        <w:tc>
          <w:tcPr>
            <w:tcW w:w="946" w:type="dxa"/>
          </w:tcPr>
          <w:p w14:paraId="0F0500E1">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14:paraId="57B41C54">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39332F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14:paraId="4D3DF4DE">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3DF1E8E5">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14:paraId="4C3A1BB0">
            <w:pPr>
              <w:spacing w:line="360" w:lineRule="auto"/>
              <w:rPr>
                <w:rFonts w:ascii="宋体" w:hAnsi="宋体" w:cs="宋体"/>
                <w:color w:val="auto"/>
                <w:sz w:val="24"/>
                <w:highlight w:val="none"/>
              </w:rPr>
            </w:pPr>
          </w:p>
        </w:tc>
        <w:tc>
          <w:tcPr>
            <w:tcW w:w="2178" w:type="dxa"/>
          </w:tcPr>
          <w:p w14:paraId="6DCC5F09">
            <w:pPr>
              <w:spacing w:line="360" w:lineRule="auto"/>
              <w:rPr>
                <w:rFonts w:ascii="宋体" w:hAnsi="宋体" w:cs="宋体"/>
                <w:color w:val="auto"/>
                <w:sz w:val="24"/>
                <w:highlight w:val="none"/>
              </w:rPr>
            </w:pPr>
          </w:p>
        </w:tc>
        <w:tc>
          <w:tcPr>
            <w:tcW w:w="946" w:type="dxa"/>
          </w:tcPr>
          <w:p w14:paraId="60B183CB">
            <w:pPr>
              <w:spacing w:line="360" w:lineRule="auto"/>
              <w:rPr>
                <w:rFonts w:ascii="宋体" w:hAnsi="宋体" w:cs="宋体"/>
                <w:color w:val="auto"/>
                <w:sz w:val="24"/>
                <w:highlight w:val="none"/>
              </w:rPr>
            </w:pPr>
          </w:p>
        </w:tc>
        <w:tc>
          <w:tcPr>
            <w:tcW w:w="1662" w:type="dxa"/>
          </w:tcPr>
          <w:p w14:paraId="6986FF20">
            <w:pPr>
              <w:spacing w:line="360" w:lineRule="auto"/>
              <w:rPr>
                <w:rFonts w:ascii="宋体" w:hAnsi="宋体" w:cs="宋体"/>
                <w:color w:val="auto"/>
                <w:sz w:val="24"/>
                <w:highlight w:val="none"/>
              </w:rPr>
            </w:pPr>
          </w:p>
        </w:tc>
      </w:tr>
      <w:tr w14:paraId="42D0D7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14:paraId="64AB7C0F">
            <w:pPr>
              <w:spacing w:line="360" w:lineRule="auto"/>
              <w:rPr>
                <w:rFonts w:ascii="宋体" w:hAnsi="宋体" w:cs="宋体"/>
                <w:color w:val="auto"/>
                <w:sz w:val="24"/>
                <w:highlight w:val="none"/>
              </w:rPr>
            </w:pPr>
          </w:p>
        </w:tc>
        <w:tc>
          <w:tcPr>
            <w:tcW w:w="1014" w:type="dxa"/>
          </w:tcPr>
          <w:p w14:paraId="4ACF39A0">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14:paraId="32336AEF">
            <w:pPr>
              <w:spacing w:line="360" w:lineRule="auto"/>
              <w:rPr>
                <w:rFonts w:ascii="宋体" w:hAnsi="宋体" w:cs="宋体"/>
                <w:color w:val="auto"/>
                <w:sz w:val="24"/>
                <w:highlight w:val="none"/>
              </w:rPr>
            </w:pPr>
          </w:p>
        </w:tc>
        <w:tc>
          <w:tcPr>
            <w:tcW w:w="2178" w:type="dxa"/>
          </w:tcPr>
          <w:p w14:paraId="7A7495FF">
            <w:pPr>
              <w:spacing w:line="360" w:lineRule="auto"/>
              <w:rPr>
                <w:rFonts w:ascii="宋体" w:hAnsi="宋体" w:cs="宋体"/>
                <w:color w:val="auto"/>
                <w:sz w:val="24"/>
                <w:highlight w:val="none"/>
              </w:rPr>
            </w:pPr>
          </w:p>
        </w:tc>
        <w:tc>
          <w:tcPr>
            <w:tcW w:w="946" w:type="dxa"/>
          </w:tcPr>
          <w:p w14:paraId="3ECEB8A5">
            <w:pPr>
              <w:spacing w:line="360" w:lineRule="auto"/>
              <w:rPr>
                <w:rFonts w:ascii="宋体" w:hAnsi="宋体" w:cs="宋体"/>
                <w:color w:val="auto"/>
                <w:sz w:val="24"/>
                <w:highlight w:val="none"/>
              </w:rPr>
            </w:pPr>
          </w:p>
        </w:tc>
        <w:tc>
          <w:tcPr>
            <w:tcW w:w="1662" w:type="dxa"/>
          </w:tcPr>
          <w:p w14:paraId="10DCDA7B">
            <w:pPr>
              <w:spacing w:line="360" w:lineRule="auto"/>
              <w:rPr>
                <w:rFonts w:ascii="宋体" w:hAnsi="宋体" w:cs="宋体"/>
                <w:color w:val="auto"/>
                <w:sz w:val="24"/>
                <w:highlight w:val="none"/>
              </w:rPr>
            </w:pPr>
          </w:p>
        </w:tc>
      </w:tr>
      <w:tr w14:paraId="71AD2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208BB8D3">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443CA7D6">
            <w:pPr>
              <w:spacing w:line="360" w:lineRule="auto"/>
              <w:rPr>
                <w:rFonts w:ascii="宋体" w:hAnsi="宋体" w:cs="宋体"/>
                <w:color w:val="auto"/>
                <w:sz w:val="24"/>
                <w:highlight w:val="none"/>
              </w:rPr>
            </w:pPr>
          </w:p>
        </w:tc>
        <w:tc>
          <w:tcPr>
            <w:tcW w:w="2500" w:type="dxa"/>
          </w:tcPr>
          <w:p w14:paraId="6494AD1E">
            <w:pPr>
              <w:spacing w:line="360" w:lineRule="auto"/>
              <w:rPr>
                <w:rFonts w:ascii="宋体" w:hAnsi="宋体" w:cs="宋体"/>
                <w:color w:val="auto"/>
                <w:sz w:val="24"/>
                <w:highlight w:val="none"/>
              </w:rPr>
            </w:pPr>
          </w:p>
        </w:tc>
        <w:tc>
          <w:tcPr>
            <w:tcW w:w="2178" w:type="dxa"/>
          </w:tcPr>
          <w:p w14:paraId="06AD0EC1">
            <w:pPr>
              <w:spacing w:line="360" w:lineRule="auto"/>
              <w:rPr>
                <w:rFonts w:ascii="宋体" w:hAnsi="宋体" w:cs="宋体"/>
                <w:color w:val="auto"/>
                <w:sz w:val="24"/>
                <w:highlight w:val="none"/>
              </w:rPr>
            </w:pPr>
          </w:p>
        </w:tc>
        <w:tc>
          <w:tcPr>
            <w:tcW w:w="946" w:type="dxa"/>
          </w:tcPr>
          <w:p w14:paraId="7D718EA1">
            <w:pPr>
              <w:spacing w:line="360" w:lineRule="auto"/>
              <w:rPr>
                <w:rFonts w:ascii="宋体" w:hAnsi="宋体" w:cs="宋体"/>
                <w:color w:val="auto"/>
                <w:sz w:val="24"/>
                <w:highlight w:val="none"/>
              </w:rPr>
            </w:pPr>
          </w:p>
        </w:tc>
        <w:tc>
          <w:tcPr>
            <w:tcW w:w="1662" w:type="dxa"/>
          </w:tcPr>
          <w:p w14:paraId="4AABC858">
            <w:pPr>
              <w:spacing w:line="360" w:lineRule="auto"/>
              <w:rPr>
                <w:rFonts w:ascii="宋体" w:hAnsi="宋体" w:cs="宋体"/>
                <w:color w:val="auto"/>
                <w:sz w:val="24"/>
                <w:highlight w:val="none"/>
              </w:rPr>
            </w:pPr>
          </w:p>
        </w:tc>
      </w:tr>
    </w:tbl>
    <w:p w14:paraId="59C391C1">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6554094F">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14:paraId="0895746E">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1.1“采购包”、“品目号”、“服务名称”及“</w:t>
      </w:r>
      <w:r>
        <w:rPr>
          <w:rFonts w:hint="default" w:ascii="宋体" w:hAnsi="宋体" w:cs="宋体"/>
          <w:color w:val="auto"/>
          <w:sz w:val="24"/>
          <w:szCs w:val="24"/>
          <w:highlight w:val="none"/>
        </w:rPr>
        <w:t>服务期限</w:t>
      </w:r>
      <w:r>
        <w:rPr>
          <w:rFonts w:ascii="宋体" w:hAnsi="宋体" w:cs="宋体"/>
          <w:color w:val="auto"/>
          <w:sz w:val="24"/>
          <w:szCs w:val="24"/>
          <w:highlight w:val="none"/>
        </w:rPr>
        <w:t>”应与第三章《采购标的一览表》中的有关内容（“采购包”、“品目号”、“服务名称”及“</w:t>
      </w:r>
      <w:r>
        <w:rPr>
          <w:rFonts w:hint="default" w:ascii="宋体" w:hAnsi="宋体" w:cs="宋体"/>
          <w:color w:val="auto"/>
          <w:sz w:val="24"/>
          <w:szCs w:val="24"/>
          <w:highlight w:val="none"/>
        </w:rPr>
        <w:t>服务期限</w:t>
      </w:r>
      <w:r>
        <w:rPr>
          <w:rFonts w:ascii="宋体" w:hAnsi="宋体" w:cs="宋体"/>
          <w:color w:val="auto"/>
          <w:sz w:val="24"/>
          <w:szCs w:val="24"/>
          <w:highlight w:val="none"/>
        </w:rPr>
        <w:t>”）保持一致。</w:t>
      </w:r>
    </w:p>
    <w:p w14:paraId="3415353C">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1.2“规格”项下应填写服务提供者提供的服务标准及品牌（若有）。“来源地”应填写服务提供者的所在地。</w:t>
      </w:r>
    </w:p>
    <w:p w14:paraId="3223042C">
      <w:pPr>
        <w:pStyle w:val="33"/>
        <w:spacing w:line="360" w:lineRule="auto"/>
        <w:ind w:firstLine="480"/>
        <w:jc w:val="right"/>
        <w:rPr>
          <w:rFonts w:hint="default" w:ascii="宋体" w:hAnsi="宋体" w:cs="宋体"/>
          <w:color w:val="auto"/>
          <w:sz w:val="24"/>
          <w:szCs w:val="24"/>
          <w:highlight w:val="none"/>
        </w:rPr>
      </w:pPr>
    </w:p>
    <w:p w14:paraId="623B48B8">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2C59D9BC">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80DEF83">
      <w:pPr>
        <w:pStyle w:val="33"/>
        <w:spacing w:line="360" w:lineRule="auto"/>
        <w:jc w:val="both"/>
        <w:rPr>
          <w:rFonts w:hint="default" w:ascii="宋体" w:hAnsi="宋体" w:cs="宋体"/>
          <w:color w:val="auto"/>
          <w:sz w:val="24"/>
          <w:szCs w:val="24"/>
          <w:highlight w:val="none"/>
        </w:rPr>
      </w:pPr>
    </w:p>
    <w:p w14:paraId="6A09D525">
      <w:pPr>
        <w:pStyle w:val="33"/>
        <w:spacing w:line="360" w:lineRule="auto"/>
        <w:jc w:val="both"/>
        <w:rPr>
          <w:rFonts w:hint="default" w:ascii="宋体" w:hAnsi="宋体" w:cs="宋体"/>
          <w:color w:val="auto"/>
          <w:sz w:val="24"/>
          <w:szCs w:val="24"/>
          <w:highlight w:val="none"/>
        </w:rPr>
      </w:pPr>
    </w:p>
    <w:p w14:paraId="73877A00">
      <w:pPr>
        <w:pStyle w:val="33"/>
        <w:spacing w:line="360" w:lineRule="auto"/>
        <w:jc w:val="both"/>
        <w:rPr>
          <w:rFonts w:hint="default" w:ascii="宋体" w:hAnsi="宋体" w:cs="宋体"/>
          <w:color w:val="auto"/>
          <w:sz w:val="24"/>
          <w:szCs w:val="24"/>
          <w:highlight w:val="none"/>
        </w:rPr>
      </w:pPr>
    </w:p>
    <w:p w14:paraId="4BD4F26E">
      <w:pPr>
        <w:pStyle w:val="33"/>
        <w:spacing w:line="360" w:lineRule="auto"/>
        <w:jc w:val="both"/>
        <w:rPr>
          <w:rFonts w:hint="default" w:ascii="宋体" w:hAnsi="宋体" w:cs="宋体"/>
          <w:color w:val="auto"/>
          <w:sz w:val="24"/>
          <w:szCs w:val="24"/>
          <w:highlight w:val="none"/>
        </w:rPr>
      </w:pPr>
    </w:p>
    <w:p w14:paraId="77A2A278">
      <w:pPr>
        <w:pStyle w:val="6"/>
        <w:spacing w:line="360" w:lineRule="auto"/>
        <w:ind w:left="0" w:leftChars="0"/>
        <w:rPr>
          <w:rFonts w:ascii="宋体" w:hAnsi="宋体" w:cs="宋体"/>
          <w:color w:val="auto"/>
          <w:sz w:val="24"/>
          <w:highlight w:val="none"/>
        </w:rPr>
      </w:pPr>
    </w:p>
    <w:p w14:paraId="58EC7A75">
      <w:pPr>
        <w:pStyle w:val="7"/>
        <w:spacing w:line="360" w:lineRule="auto"/>
        <w:rPr>
          <w:rFonts w:ascii="宋体" w:hAnsi="宋体" w:cs="宋体"/>
          <w:color w:val="auto"/>
          <w:sz w:val="24"/>
          <w:highlight w:val="none"/>
        </w:rPr>
      </w:pPr>
    </w:p>
    <w:p w14:paraId="4AEF66B0">
      <w:pPr>
        <w:pStyle w:val="7"/>
        <w:spacing w:line="360" w:lineRule="auto"/>
        <w:rPr>
          <w:rFonts w:ascii="宋体" w:hAnsi="宋体" w:cs="宋体"/>
          <w:color w:val="auto"/>
          <w:sz w:val="24"/>
          <w:highlight w:val="none"/>
        </w:rPr>
      </w:pPr>
    </w:p>
    <w:p w14:paraId="126AB2E6">
      <w:pPr>
        <w:rPr>
          <w:rFonts w:ascii="宋体" w:hAnsi="宋体" w:cs="宋体"/>
          <w:color w:val="auto"/>
          <w:sz w:val="24"/>
          <w:highlight w:val="none"/>
        </w:rPr>
      </w:pPr>
      <w:r>
        <w:rPr>
          <w:rFonts w:ascii="宋体" w:hAnsi="宋体" w:cs="宋体"/>
          <w:color w:val="auto"/>
          <w:sz w:val="24"/>
          <w:highlight w:val="none"/>
        </w:rPr>
        <w:br w:type="page"/>
      </w:r>
    </w:p>
    <w:p w14:paraId="0D8AF12C">
      <w:pPr>
        <w:pStyle w:val="7"/>
        <w:numPr>
          <w:ilvl w:val="0"/>
          <w:numId w:val="4"/>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14:paraId="6BD626BF">
      <w:pPr>
        <w:pStyle w:val="7"/>
        <w:spacing w:line="360" w:lineRule="auto"/>
        <w:rPr>
          <w:rFonts w:ascii="宋体" w:hAnsi="宋体" w:cs="宋体"/>
          <w:b/>
          <w:bCs/>
          <w:color w:val="auto"/>
          <w:sz w:val="28"/>
          <w:szCs w:val="28"/>
          <w:highlight w:val="none"/>
        </w:rPr>
      </w:pPr>
    </w:p>
    <w:p w14:paraId="3227E27C">
      <w:pPr>
        <w:pStyle w:val="16"/>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1"/>
        <w:tblW w:w="4996" w:type="pct"/>
        <w:tblInd w:w="0" w:type="dxa"/>
        <w:tblLayout w:type="fixed"/>
        <w:tblCellMar>
          <w:top w:w="0" w:type="dxa"/>
          <w:left w:w="0" w:type="dxa"/>
          <w:bottom w:w="0" w:type="dxa"/>
          <w:right w:w="0" w:type="dxa"/>
        </w:tblCellMar>
      </w:tblPr>
      <w:tblGrid>
        <w:gridCol w:w="960"/>
        <w:gridCol w:w="3642"/>
        <w:gridCol w:w="3334"/>
        <w:gridCol w:w="2042"/>
      </w:tblGrid>
      <w:tr w14:paraId="52F61BA9">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3F26E81">
            <w:pPr>
              <w:pStyle w:val="16"/>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483C3E6">
            <w:pPr>
              <w:pStyle w:val="16"/>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9439925">
            <w:pPr>
              <w:pStyle w:val="16"/>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F54ED39">
            <w:pPr>
              <w:pStyle w:val="16"/>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230E651A">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81A6683">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EA6942D">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1D24A70">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41AD998">
            <w:pPr>
              <w:pStyle w:val="16"/>
              <w:wordWrap w:val="0"/>
              <w:spacing w:before="0" w:beforeAutospacing="0" w:after="0" w:afterAutospacing="0" w:line="360" w:lineRule="auto"/>
              <w:jc w:val="center"/>
              <w:rPr>
                <w:color w:val="auto"/>
                <w:highlight w:val="none"/>
              </w:rPr>
            </w:pPr>
          </w:p>
        </w:tc>
      </w:tr>
      <w:tr w14:paraId="60438219">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2AF2E91">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56F7EF0">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59236CE">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D7DC210">
            <w:pPr>
              <w:pStyle w:val="16"/>
              <w:wordWrap w:val="0"/>
              <w:spacing w:before="0" w:beforeAutospacing="0" w:after="0" w:afterAutospacing="0" w:line="360" w:lineRule="auto"/>
              <w:jc w:val="center"/>
              <w:rPr>
                <w:color w:val="auto"/>
                <w:highlight w:val="none"/>
              </w:rPr>
            </w:pPr>
          </w:p>
        </w:tc>
      </w:tr>
      <w:tr w14:paraId="24362E82">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CE46301">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94FA023">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F513B7D">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13B6C15">
            <w:pPr>
              <w:pStyle w:val="16"/>
              <w:wordWrap w:val="0"/>
              <w:spacing w:before="0" w:beforeAutospacing="0" w:after="0" w:afterAutospacing="0" w:line="360" w:lineRule="auto"/>
              <w:jc w:val="center"/>
              <w:rPr>
                <w:color w:val="auto"/>
                <w:highlight w:val="none"/>
              </w:rPr>
            </w:pPr>
          </w:p>
        </w:tc>
      </w:tr>
    </w:tbl>
    <w:p w14:paraId="1D3BA760">
      <w:pPr>
        <w:pStyle w:val="16"/>
        <w:spacing w:before="0" w:beforeAutospacing="0" w:after="0" w:afterAutospacing="0" w:line="360" w:lineRule="auto"/>
        <w:rPr>
          <w:b/>
          <w:bCs/>
          <w:color w:val="auto"/>
          <w:highlight w:val="none"/>
        </w:rPr>
      </w:pPr>
      <w:r>
        <w:rPr>
          <w:rFonts w:hint="eastAsia"/>
          <w:b/>
          <w:bCs/>
          <w:color w:val="auto"/>
          <w:highlight w:val="none"/>
        </w:rPr>
        <w:t>注：</w:t>
      </w:r>
    </w:p>
    <w:p w14:paraId="27968EB6">
      <w:pPr>
        <w:pStyle w:val="16"/>
        <w:numPr>
          <w:ilvl w:val="0"/>
          <w:numId w:val="5"/>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271270EC">
      <w:pPr>
        <w:pStyle w:val="33"/>
        <w:spacing w:line="360" w:lineRule="auto"/>
        <w:ind w:firstLine="480"/>
        <w:jc w:val="right"/>
        <w:rPr>
          <w:rFonts w:hint="default" w:ascii="宋体" w:hAnsi="宋体" w:cs="宋体"/>
          <w:color w:val="auto"/>
          <w:sz w:val="24"/>
          <w:szCs w:val="24"/>
          <w:highlight w:val="none"/>
        </w:rPr>
      </w:pPr>
    </w:p>
    <w:p w14:paraId="5F3CF77D">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0C4DD161">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E28802A">
      <w:pPr>
        <w:pStyle w:val="6"/>
        <w:spacing w:line="360" w:lineRule="auto"/>
        <w:ind w:left="0" w:leftChars="0"/>
        <w:rPr>
          <w:rFonts w:ascii="宋体" w:hAnsi="宋体" w:cs="宋体"/>
          <w:color w:val="auto"/>
          <w:sz w:val="24"/>
          <w:highlight w:val="none"/>
        </w:rPr>
      </w:pPr>
    </w:p>
    <w:p w14:paraId="7F330F3F">
      <w:pPr>
        <w:pStyle w:val="7"/>
        <w:spacing w:line="360" w:lineRule="auto"/>
        <w:rPr>
          <w:rFonts w:ascii="宋体" w:hAnsi="宋体" w:cs="宋体"/>
          <w:color w:val="auto"/>
          <w:sz w:val="24"/>
          <w:highlight w:val="none"/>
        </w:rPr>
      </w:pPr>
    </w:p>
    <w:p w14:paraId="38A7D405">
      <w:pPr>
        <w:pStyle w:val="7"/>
        <w:spacing w:line="360" w:lineRule="auto"/>
        <w:rPr>
          <w:rFonts w:ascii="宋体" w:hAnsi="宋体" w:cs="宋体"/>
          <w:color w:val="auto"/>
          <w:sz w:val="24"/>
          <w:highlight w:val="none"/>
        </w:rPr>
      </w:pPr>
    </w:p>
    <w:p w14:paraId="45312DE5">
      <w:pPr>
        <w:pStyle w:val="7"/>
        <w:spacing w:line="360" w:lineRule="auto"/>
        <w:rPr>
          <w:rFonts w:ascii="宋体" w:hAnsi="宋体" w:cs="宋体"/>
          <w:color w:val="auto"/>
          <w:sz w:val="24"/>
          <w:highlight w:val="none"/>
        </w:rPr>
      </w:pPr>
    </w:p>
    <w:p w14:paraId="25BBA9D3">
      <w:pPr>
        <w:pStyle w:val="7"/>
        <w:spacing w:line="360" w:lineRule="auto"/>
        <w:rPr>
          <w:rFonts w:ascii="宋体" w:hAnsi="宋体" w:cs="宋体"/>
          <w:color w:val="auto"/>
          <w:sz w:val="24"/>
          <w:highlight w:val="none"/>
        </w:rPr>
      </w:pPr>
    </w:p>
    <w:p w14:paraId="09F040BC">
      <w:pPr>
        <w:pStyle w:val="7"/>
        <w:spacing w:line="360" w:lineRule="auto"/>
        <w:rPr>
          <w:rFonts w:ascii="宋体" w:hAnsi="宋体" w:cs="宋体"/>
          <w:color w:val="auto"/>
          <w:sz w:val="24"/>
          <w:highlight w:val="none"/>
        </w:rPr>
      </w:pPr>
    </w:p>
    <w:p w14:paraId="61034E09">
      <w:pPr>
        <w:pStyle w:val="7"/>
        <w:spacing w:line="360" w:lineRule="auto"/>
        <w:rPr>
          <w:rFonts w:ascii="宋体" w:hAnsi="宋体" w:cs="宋体"/>
          <w:color w:val="auto"/>
          <w:sz w:val="24"/>
          <w:highlight w:val="none"/>
        </w:rPr>
      </w:pPr>
    </w:p>
    <w:p w14:paraId="08B6AB94">
      <w:pPr>
        <w:pStyle w:val="7"/>
        <w:spacing w:line="360" w:lineRule="auto"/>
        <w:rPr>
          <w:rFonts w:ascii="宋体" w:hAnsi="宋体" w:cs="宋体"/>
          <w:color w:val="auto"/>
          <w:sz w:val="24"/>
          <w:highlight w:val="none"/>
        </w:rPr>
      </w:pPr>
    </w:p>
    <w:p w14:paraId="06E546B7">
      <w:pPr>
        <w:pStyle w:val="7"/>
        <w:spacing w:line="360" w:lineRule="auto"/>
        <w:rPr>
          <w:rFonts w:ascii="宋体" w:hAnsi="宋体" w:cs="宋体"/>
          <w:color w:val="auto"/>
          <w:sz w:val="24"/>
          <w:highlight w:val="none"/>
        </w:rPr>
      </w:pPr>
    </w:p>
    <w:p w14:paraId="6B06BDE1">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7FF2741">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48871B50">
      <w:pPr>
        <w:pStyle w:val="6"/>
        <w:spacing w:line="360" w:lineRule="auto"/>
        <w:ind w:left="0" w:leftChars="0"/>
        <w:rPr>
          <w:rFonts w:ascii="宋体" w:hAnsi="宋体" w:cs="宋体"/>
          <w:b/>
          <w:bCs/>
          <w:color w:val="auto"/>
          <w:sz w:val="28"/>
          <w:szCs w:val="28"/>
          <w:highlight w:val="none"/>
        </w:rPr>
      </w:pPr>
    </w:p>
    <w:p w14:paraId="681C0396">
      <w:pPr>
        <w:pStyle w:val="7"/>
        <w:spacing w:line="360" w:lineRule="auto"/>
        <w:rPr>
          <w:rFonts w:ascii="宋体" w:hAnsi="宋体" w:cs="宋体"/>
          <w:b/>
          <w:bCs/>
          <w:color w:val="auto"/>
          <w:sz w:val="28"/>
          <w:szCs w:val="28"/>
          <w:highlight w:val="none"/>
        </w:rPr>
      </w:pPr>
    </w:p>
    <w:p w14:paraId="66ACF780">
      <w:pPr>
        <w:pStyle w:val="7"/>
        <w:spacing w:line="360" w:lineRule="auto"/>
        <w:rPr>
          <w:rFonts w:ascii="宋体" w:hAnsi="宋体" w:cs="宋体"/>
          <w:b/>
          <w:bCs/>
          <w:color w:val="auto"/>
          <w:sz w:val="28"/>
          <w:szCs w:val="28"/>
          <w:highlight w:val="none"/>
        </w:rPr>
      </w:pPr>
    </w:p>
    <w:p w14:paraId="07A2B90E">
      <w:pPr>
        <w:pStyle w:val="6"/>
        <w:spacing w:line="360" w:lineRule="auto"/>
        <w:ind w:left="0" w:leftChars="0"/>
        <w:rPr>
          <w:rFonts w:ascii="宋体" w:hAnsi="宋体" w:cs="宋体"/>
          <w:b/>
          <w:bCs/>
          <w:color w:val="auto"/>
          <w:sz w:val="28"/>
          <w:szCs w:val="28"/>
          <w:highlight w:val="none"/>
        </w:rPr>
      </w:pPr>
    </w:p>
    <w:p w14:paraId="57BD8E4A">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3208F7BF">
      <w:pPr>
        <w:pStyle w:val="7"/>
        <w:spacing w:line="360" w:lineRule="auto"/>
        <w:rPr>
          <w:rFonts w:ascii="宋体" w:hAnsi="宋体" w:cs="宋体"/>
          <w:b/>
          <w:bCs/>
          <w:color w:val="auto"/>
          <w:sz w:val="28"/>
          <w:szCs w:val="28"/>
          <w:highlight w:val="none"/>
        </w:rPr>
      </w:pPr>
    </w:p>
    <w:p w14:paraId="6C509E45">
      <w:pPr>
        <w:pStyle w:val="33"/>
        <w:spacing w:line="360" w:lineRule="auto"/>
        <w:ind w:firstLine="480"/>
        <w:jc w:val="right"/>
        <w:rPr>
          <w:rFonts w:hint="default" w:ascii="宋体" w:hAnsi="宋体" w:cs="宋体"/>
          <w:color w:val="auto"/>
          <w:sz w:val="24"/>
          <w:szCs w:val="24"/>
          <w:highlight w:val="none"/>
        </w:rPr>
      </w:pPr>
    </w:p>
    <w:p w14:paraId="6F10F3A7">
      <w:pPr>
        <w:pStyle w:val="33"/>
        <w:spacing w:line="360" w:lineRule="auto"/>
        <w:ind w:firstLine="480"/>
        <w:jc w:val="right"/>
        <w:rPr>
          <w:rFonts w:hint="default" w:ascii="宋体" w:hAnsi="宋体" w:cs="宋体"/>
          <w:color w:val="auto"/>
          <w:sz w:val="24"/>
          <w:szCs w:val="24"/>
          <w:highlight w:val="none"/>
        </w:rPr>
      </w:pPr>
    </w:p>
    <w:p w14:paraId="5F51EA2F">
      <w:pPr>
        <w:pStyle w:val="33"/>
        <w:spacing w:line="360" w:lineRule="auto"/>
        <w:ind w:firstLine="480"/>
        <w:jc w:val="right"/>
        <w:rPr>
          <w:rFonts w:hint="default" w:ascii="宋体" w:hAnsi="宋体" w:cs="宋体"/>
          <w:color w:val="auto"/>
          <w:sz w:val="24"/>
          <w:szCs w:val="24"/>
          <w:highlight w:val="none"/>
        </w:rPr>
      </w:pPr>
    </w:p>
    <w:p w14:paraId="4A7101CD">
      <w:pPr>
        <w:pStyle w:val="33"/>
        <w:spacing w:line="360" w:lineRule="auto"/>
        <w:ind w:firstLine="480"/>
        <w:jc w:val="right"/>
        <w:rPr>
          <w:rFonts w:hint="default" w:ascii="宋体" w:hAnsi="宋体" w:cs="宋体"/>
          <w:color w:val="auto"/>
          <w:sz w:val="24"/>
          <w:szCs w:val="24"/>
          <w:highlight w:val="none"/>
        </w:rPr>
      </w:pPr>
    </w:p>
    <w:p w14:paraId="0F6B44A7">
      <w:pPr>
        <w:pStyle w:val="33"/>
        <w:spacing w:line="360" w:lineRule="auto"/>
        <w:ind w:firstLine="480"/>
        <w:jc w:val="right"/>
        <w:rPr>
          <w:rFonts w:hint="default" w:ascii="宋体" w:hAnsi="宋体" w:cs="宋体"/>
          <w:color w:val="auto"/>
          <w:sz w:val="24"/>
          <w:szCs w:val="24"/>
          <w:highlight w:val="none"/>
        </w:rPr>
      </w:pPr>
    </w:p>
    <w:p w14:paraId="2FAA0B78">
      <w:pPr>
        <w:pStyle w:val="33"/>
        <w:spacing w:line="360" w:lineRule="auto"/>
        <w:ind w:firstLine="480"/>
        <w:jc w:val="right"/>
        <w:rPr>
          <w:rFonts w:hint="default" w:ascii="宋体" w:hAnsi="宋体" w:cs="宋体"/>
          <w:color w:val="auto"/>
          <w:sz w:val="24"/>
          <w:szCs w:val="24"/>
          <w:highlight w:val="none"/>
        </w:rPr>
      </w:pPr>
    </w:p>
    <w:p w14:paraId="1D280CAB">
      <w:pPr>
        <w:pStyle w:val="33"/>
        <w:spacing w:line="360" w:lineRule="auto"/>
        <w:ind w:firstLine="480"/>
        <w:jc w:val="right"/>
        <w:rPr>
          <w:rFonts w:hint="default" w:ascii="宋体" w:hAnsi="宋体" w:cs="宋体"/>
          <w:color w:val="auto"/>
          <w:sz w:val="24"/>
          <w:szCs w:val="24"/>
          <w:highlight w:val="none"/>
        </w:rPr>
      </w:pPr>
    </w:p>
    <w:p w14:paraId="26B3BFD3">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40C124AB">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5FC76B70">
      <w:pPr>
        <w:pStyle w:val="7"/>
        <w:spacing w:line="360" w:lineRule="auto"/>
        <w:rPr>
          <w:rFonts w:ascii="宋体" w:hAnsi="宋体" w:cs="宋体"/>
          <w:b/>
          <w:bCs/>
          <w:color w:val="auto"/>
          <w:sz w:val="28"/>
          <w:szCs w:val="28"/>
          <w:highlight w:val="none"/>
        </w:rPr>
      </w:pPr>
    </w:p>
    <w:p w14:paraId="07B38776">
      <w:pPr>
        <w:pStyle w:val="6"/>
        <w:spacing w:line="360" w:lineRule="auto"/>
        <w:ind w:left="0" w:leftChars="0"/>
        <w:jc w:val="center"/>
        <w:rPr>
          <w:rFonts w:ascii="宋体" w:hAnsi="宋体" w:cs="宋体"/>
          <w:b/>
          <w:bCs/>
          <w:color w:val="auto"/>
          <w:sz w:val="28"/>
          <w:szCs w:val="28"/>
          <w:highlight w:val="none"/>
        </w:rPr>
      </w:pPr>
    </w:p>
    <w:p w14:paraId="1223510C">
      <w:pPr>
        <w:pStyle w:val="6"/>
        <w:spacing w:line="360" w:lineRule="auto"/>
        <w:ind w:left="0" w:leftChars="0"/>
        <w:jc w:val="center"/>
        <w:rPr>
          <w:rFonts w:ascii="宋体" w:hAnsi="宋体" w:cs="宋体"/>
          <w:b/>
          <w:bCs/>
          <w:color w:val="auto"/>
          <w:sz w:val="28"/>
          <w:szCs w:val="28"/>
          <w:highlight w:val="none"/>
        </w:rPr>
      </w:pPr>
    </w:p>
    <w:p w14:paraId="118F676B">
      <w:pPr>
        <w:pStyle w:val="6"/>
        <w:spacing w:line="360" w:lineRule="auto"/>
        <w:ind w:left="0" w:leftChars="0"/>
        <w:jc w:val="center"/>
        <w:rPr>
          <w:rFonts w:ascii="宋体" w:hAnsi="宋体" w:cs="宋体"/>
          <w:b/>
          <w:bCs/>
          <w:color w:val="auto"/>
          <w:sz w:val="28"/>
          <w:szCs w:val="28"/>
          <w:highlight w:val="none"/>
        </w:rPr>
      </w:pPr>
    </w:p>
    <w:p w14:paraId="15C68163">
      <w:pPr>
        <w:pStyle w:val="6"/>
        <w:spacing w:line="360" w:lineRule="auto"/>
        <w:ind w:left="0" w:leftChars="0"/>
        <w:jc w:val="center"/>
        <w:rPr>
          <w:rFonts w:ascii="宋体" w:hAnsi="宋体" w:cs="宋体"/>
          <w:b/>
          <w:bCs/>
          <w:color w:val="auto"/>
          <w:sz w:val="28"/>
          <w:szCs w:val="28"/>
          <w:highlight w:val="none"/>
        </w:rPr>
      </w:pPr>
    </w:p>
    <w:p w14:paraId="253B8E40">
      <w:pPr>
        <w:pStyle w:val="6"/>
        <w:spacing w:line="360" w:lineRule="auto"/>
        <w:ind w:left="0" w:leftChars="0"/>
        <w:jc w:val="center"/>
        <w:rPr>
          <w:rFonts w:ascii="宋体" w:hAnsi="宋体" w:cs="宋体"/>
          <w:b/>
          <w:bCs/>
          <w:color w:val="auto"/>
          <w:sz w:val="28"/>
          <w:szCs w:val="28"/>
          <w:highlight w:val="none"/>
        </w:rPr>
      </w:pPr>
    </w:p>
    <w:p w14:paraId="24F44D3E">
      <w:pPr>
        <w:pStyle w:val="6"/>
        <w:spacing w:line="360" w:lineRule="auto"/>
        <w:ind w:left="0" w:leftChars="0"/>
        <w:jc w:val="center"/>
        <w:rPr>
          <w:rFonts w:ascii="宋体" w:hAnsi="宋体" w:cs="宋体"/>
          <w:b/>
          <w:bCs/>
          <w:color w:val="auto"/>
          <w:sz w:val="28"/>
          <w:szCs w:val="28"/>
          <w:highlight w:val="none"/>
        </w:rPr>
      </w:pPr>
    </w:p>
    <w:p w14:paraId="507A51BF">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14403E3A">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6E6F6F64">
      <w:pPr>
        <w:pStyle w:val="6"/>
        <w:spacing w:line="360" w:lineRule="auto"/>
        <w:ind w:left="0" w:leftChars="0"/>
        <w:jc w:val="center"/>
        <w:rPr>
          <w:rFonts w:ascii="宋体" w:hAnsi="宋体" w:cs="宋体"/>
          <w:b/>
          <w:bCs/>
          <w:color w:val="auto"/>
          <w:sz w:val="28"/>
          <w:szCs w:val="28"/>
          <w:highlight w:val="none"/>
        </w:rPr>
      </w:pPr>
    </w:p>
    <w:p w14:paraId="0C5146EA">
      <w:pPr>
        <w:pStyle w:val="6"/>
        <w:spacing w:line="360" w:lineRule="auto"/>
        <w:ind w:left="0" w:leftChars="0"/>
        <w:jc w:val="center"/>
        <w:rPr>
          <w:rFonts w:ascii="宋体" w:hAnsi="宋体" w:cs="宋体"/>
          <w:b/>
          <w:bCs/>
          <w:color w:val="auto"/>
          <w:sz w:val="28"/>
          <w:szCs w:val="28"/>
          <w:highlight w:val="none"/>
        </w:rPr>
      </w:pPr>
    </w:p>
    <w:p w14:paraId="2CFA27C5">
      <w:pPr>
        <w:pStyle w:val="6"/>
        <w:spacing w:line="360" w:lineRule="auto"/>
        <w:ind w:left="0" w:leftChars="0"/>
        <w:jc w:val="center"/>
        <w:rPr>
          <w:rFonts w:ascii="宋体" w:hAnsi="宋体" w:cs="宋体"/>
          <w:b/>
          <w:bCs/>
          <w:color w:val="auto"/>
          <w:sz w:val="28"/>
          <w:szCs w:val="28"/>
          <w:highlight w:val="none"/>
        </w:rPr>
      </w:pPr>
    </w:p>
    <w:p w14:paraId="3127F785">
      <w:pPr>
        <w:pStyle w:val="6"/>
        <w:spacing w:line="360" w:lineRule="auto"/>
        <w:ind w:left="0" w:leftChars="0"/>
        <w:jc w:val="center"/>
        <w:rPr>
          <w:rFonts w:ascii="宋体" w:hAnsi="宋体" w:cs="宋体"/>
          <w:b/>
          <w:bCs/>
          <w:color w:val="auto"/>
          <w:sz w:val="28"/>
          <w:szCs w:val="28"/>
          <w:highlight w:val="none"/>
        </w:rPr>
      </w:pPr>
    </w:p>
    <w:p w14:paraId="355E6365">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79600C85">
      <w:pPr>
        <w:pStyle w:val="7"/>
        <w:spacing w:line="360" w:lineRule="auto"/>
        <w:rPr>
          <w:rFonts w:ascii="宋体" w:hAnsi="宋体" w:cs="宋体"/>
          <w:b/>
          <w:bCs/>
          <w:color w:val="auto"/>
          <w:sz w:val="28"/>
          <w:szCs w:val="28"/>
          <w:highlight w:val="none"/>
        </w:rPr>
      </w:pPr>
    </w:p>
    <w:p w14:paraId="42AFDB3A">
      <w:pPr>
        <w:pStyle w:val="33"/>
        <w:spacing w:line="360" w:lineRule="auto"/>
        <w:ind w:firstLine="480"/>
        <w:jc w:val="right"/>
        <w:rPr>
          <w:rFonts w:hint="default" w:ascii="宋体" w:hAnsi="宋体" w:cs="宋体"/>
          <w:color w:val="auto"/>
          <w:sz w:val="24"/>
          <w:szCs w:val="24"/>
          <w:highlight w:val="none"/>
        </w:rPr>
      </w:pPr>
    </w:p>
    <w:p w14:paraId="7D52BC13">
      <w:pPr>
        <w:pStyle w:val="33"/>
        <w:spacing w:line="360" w:lineRule="auto"/>
        <w:ind w:firstLine="480"/>
        <w:jc w:val="right"/>
        <w:rPr>
          <w:rFonts w:hint="default" w:ascii="宋体" w:hAnsi="宋体" w:cs="宋体"/>
          <w:color w:val="auto"/>
          <w:sz w:val="24"/>
          <w:szCs w:val="24"/>
          <w:highlight w:val="none"/>
        </w:rPr>
      </w:pPr>
    </w:p>
    <w:p w14:paraId="3F00ED49">
      <w:pPr>
        <w:pStyle w:val="33"/>
        <w:spacing w:line="360" w:lineRule="auto"/>
        <w:ind w:firstLine="480"/>
        <w:jc w:val="right"/>
        <w:rPr>
          <w:rFonts w:hint="default" w:ascii="宋体" w:hAnsi="宋体" w:cs="宋体"/>
          <w:color w:val="auto"/>
          <w:sz w:val="24"/>
          <w:szCs w:val="24"/>
          <w:highlight w:val="none"/>
        </w:rPr>
      </w:pPr>
    </w:p>
    <w:p w14:paraId="5E01F731">
      <w:pPr>
        <w:pStyle w:val="33"/>
        <w:spacing w:line="360" w:lineRule="auto"/>
        <w:ind w:firstLine="480"/>
        <w:jc w:val="right"/>
        <w:rPr>
          <w:rFonts w:hint="default" w:ascii="宋体" w:hAnsi="宋体" w:cs="宋体"/>
          <w:color w:val="auto"/>
          <w:sz w:val="24"/>
          <w:szCs w:val="24"/>
          <w:highlight w:val="none"/>
        </w:rPr>
      </w:pPr>
    </w:p>
    <w:p w14:paraId="7FE46FD7">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15044658">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AA7A2C9">
      <w:pPr>
        <w:pStyle w:val="7"/>
        <w:spacing w:line="360" w:lineRule="auto"/>
        <w:rPr>
          <w:rFonts w:ascii="宋体" w:hAnsi="宋体" w:cs="宋体"/>
          <w:b/>
          <w:bCs/>
          <w:color w:val="auto"/>
          <w:sz w:val="28"/>
          <w:szCs w:val="28"/>
          <w:highlight w:val="none"/>
        </w:rPr>
      </w:pPr>
    </w:p>
    <w:p w14:paraId="1FF8DB24">
      <w:pPr>
        <w:pStyle w:val="7"/>
        <w:spacing w:line="360" w:lineRule="auto"/>
        <w:rPr>
          <w:color w:val="auto"/>
          <w:highlight w:val="none"/>
        </w:rPr>
      </w:pPr>
    </w:p>
    <w:p w14:paraId="1100EE27">
      <w:pPr>
        <w:pStyle w:val="7"/>
        <w:spacing w:line="360" w:lineRule="auto"/>
        <w:rPr>
          <w:color w:val="auto"/>
          <w:highlight w:val="none"/>
        </w:rPr>
      </w:pPr>
    </w:p>
    <w:p w14:paraId="7EEE6C4D">
      <w:pPr>
        <w:pStyle w:val="7"/>
        <w:spacing w:line="360" w:lineRule="auto"/>
        <w:rPr>
          <w:color w:val="auto"/>
          <w:highlight w:val="none"/>
        </w:rPr>
      </w:pPr>
    </w:p>
    <w:p w14:paraId="4F4215E8">
      <w:pPr>
        <w:pStyle w:val="7"/>
        <w:spacing w:line="360" w:lineRule="auto"/>
        <w:rPr>
          <w:color w:val="auto"/>
          <w:highlight w:val="none"/>
        </w:rPr>
      </w:pPr>
    </w:p>
    <w:p w14:paraId="05D6516B">
      <w:pPr>
        <w:pStyle w:val="7"/>
        <w:spacing w:line="360" w:lineRule="auto"/>
        <w:rPr>
          <w:color w:val="auto"/>
          <w:highlight w:val="none"/>
        </w:rPr>
      </w:pPr>
    </w:p>
    <w:p w14:paraId="01FCF60E">
      <w:pPr>
        <w:pStyle w:val="7"/>
        <w:spacing w:line="360" w:lineRule="auto"/>
        <w:rPr>
          <w:color w:val="auto"/>
          <w:highlight w:val="none"/>
        </w:rPr>
      </w:pPr>
    </w:p>
    <w:p w14:paraId="37973CFE">
      <w:pPr>
        <w:pStyle w:val="7"/>
        <w:spacing w:line="360" w:lineRule="auto"/>
        <w:rPr>
          <w:color w:val="auto"/>
          <w:highlight w:val="none"/>
        </w:rPr>
      </w:pPr>
    </w:p>
    <w:p w14:paraId="63141CE5">
      <w:pPr>
        <w:pStyle w:val="7"/>
        <w:spacing w:line="360" w:lineRule="auto"/>
        <w:rPr>
          <w:color w:val="auto"/>
          <w:highlight w:val="none"/>
        </w:rPr>
      </w:pPr>
    </w:p>
    <w:p w14:paraId="5B918EFF">
      <w:pPr>
        <w:pStyle w:val="7"/>
        <w:spacing w:line="360" w:lineRule="auto"/>
        <w:rPr>
          <w:color w:val="auto"/>
          <w:highlight w:val="none"/>
        </w:rPr>
      </w:pPr>
    </w:p>
    <w:p w14:paraId="7B514335">
      <w:pPr>
        <w:pStyle w:val="7"/>
        <w:spacing w:line="360" w:lineRule="auto"/>
        <w:rPr>
          <w:color w:val="auto"/>
          <w:highlight w:val="none"/>
        </w:rPr>
      </w:pPr>
    </w:p>
    <w:p w14:paraId="04734761">
      <w:pPr>
        <w:pStyle w:val="7"/>
        <w:spacing w:line="360" w:lineRule="auto"/>
        <w:rPr>
          <w:color w:val="auto"/>
          <w:highlight w:val="none"/>
        </w:rPr>
      </w:pPr>
    </w:p>
    <w:p w14:paraId="05E9E41F">
      <w:pPr>
        <w:pStyle w:val="7"/>
        <w:spacing w:line="360" w:lineRule="auto"/>
        <w:rPr>
          <w:color w:val="auto"/>
          <w:highlight w:val="none"/>
        </w:rPr>
      </w:pPr>
    </w:p>
    <w:p w14:paraId="20A22A58">
      <w:pPr>
        <w:pStyle w:val="7"/>
        <w:spacing w:line="360" w:lineRule="auto"/>
        <w:rPr>
          <w:color w:val="auto"/>
          <w:highlight w:val="none"/>
        </w:rPr>
      </w:pPr>
    </w:p>
    <w:p w14:paraId="64691406">
      <w:pPr>
        <w:pStyle w:val="7"/>
        <w:spacing w:line="360" w:lineRule="auto"/>
        <w:rPr>
          <w:color w:val="auto"/>
          <w:highlight w:val="none"/>
        </w:rPr>
      </w:pPr>
    </w:p>
    <w:p w14:paraId="7F71741E">
      <w:pPr>
        <w:pStyle w:val="7"/>
        <w:spacing w:line="360" w:lineRule="auto"/>
        <w:rPr>
          <w:color w:val="auto"/>
          <w:highlight w:val="none"/>
        </w:rPr>
      </w:pPr>
    </w:p>
    <w:p w14:paraId="21F248E8">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339793DD">
      <w:pPr>
        <w:pStyle w:val="5"/>
        <w:spacing w:line="360" w:lineRule="auto"/>
        <w:rPr>
          <w:rFonts w:ascii="楷体_GB2312" w:eastAsia="楷体_GB2312"/>
          <w:b/>
          <w:color w:val="auto"/>
          <w:sz w:val="40"/>
          <w:szCs w:val="40"/>
          <w:highlight w:val="none"/>
        </w:rPr>
      </w:pPr>
    </w:p>
    <w:p w14:paraId="7A6C2657">
      <w:pPr>
        <w:pStyle w:val="6"/>
        <w:spacing w:line="360" w:lineRule="auto"/>
        <w:rPr>
          <w:rFonts w:ascii="楷体_GB2312" w:eastAsia="楷体_GB2312"/>
          <w:b/>
          <w:color w:val="auto"/>
          <w:sz w:val="40"/>
          <w:szCs w:val="40"/>
          <w:highlight w:val="none"/>
        </w:rPr>
      </w:pPr>
    </w:p>
    <w:p w14:paraId="25E61CA7">
      <w:pPr>
        <w:pStyle w:val="5"/>
        <w:spacing w:line="360" w:lineRule="auto"/>
        <w:rPr>
          <w:rFonts w:ascii="楷体_GB2312" w:eastAsia="楷体_GB2312"/>
          <w:b/>
          <w:color w:val="auto"/>
          <w:sz w:val="40"/>
          <w:szCs w:val="40"/>
          <w:highlight w:val="none"/>
        </w:rPr>
      </w:pPr>
    </w:p>
    <w:p w14:paraId="57E006EA">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71B77055">
      <w:pPr>
        <w:pStyle w:val="7"/>
        <w:spacing w:line="360" w:lineRule="auto"/>
        <w:rPr>
          <w:rFonts w:ascii="宋体" w:hAnsi="宋体" w:cs="宋体"/>
          <w:b/>
          <w:bCs/>
          <w:color w:val="auto"/>
          <w:sz w:val="28"/>
          <w:szCs w:val="28"/>
          <w:highlight w:val="none"/>
        </w:rPr>
      </w:pPr>
    </w:p>
    <w:p w14:paraId="287DF350">
      <w:pPr>
        <w:pStyle w:val="33"/>
        <w:spacing w:line="360" w:lineRule="auto"/>
        <w:ind w:firstLine="480"/>
        <w:jc w:val="right"/>
        <w:rPr>
          <w:rFonts w:hint="default" w:ascii="宋体" w:hAnsi="宋体" w:cs="宋体"/>
          <w:color w:val="auto"/>
          <w:sz w:val="24"/>
          <w:szCs w:val="24"/>
          <w:highlight w:val="none"/>
        </w:rPr>
      </w:pPr>
    </w:p>
    <w:p w14:paraId="5CF61BA5">
      <w:pPr>
        <w:pStyle w:val="33"/>
        <w:spacing w:line="360" w:lineRule="auto"/>
        <w:ind w:firstLine="480"/>
        <w:jc w:val="right"/>
        <w:rPr>
          <w:rFonts w:hint="default" w:ascii="宋体" w:hAnsi="宋体" w:cs="宋体"/>
          <w:color w:val="auto"/>
          <w:sz w:val="24"/>
          <w:szCs w:val="24"/>
          <w:highlight w:val="none"/>
        </w:rPr>
      </w:pPr>
    </w:p>
    <w:p w14:paraId="3078E4E2">
      <w:pPr>
        <w:pStyle w:val="33"/>
        <w:spacing w:line="360" w:lineRule="auto"/>
        <w:ind w:firstLine="480"/>
        <w:jc w:val="right"/>
        <w:rPr>
          <w:rFonts w:hint="default" w:ascii="宋体" w:hAnsi="宋体" w:cs="宋体"/>
          <w:color w:val="auto"/>
          <w:sz w:val="24"/>
          <w:szCs w:val="24"/>
          <w:highlight w:val="none"/>
        </w:rPr>
      </w:pPr>
    </w:p>
    <w:p w14:paraId="37E2753B">
      <w:pPr>
        <w:pStyle w:val="33"/>
        <w:spacing w:line="360" w:lineRule="auto"/>
        <w:ind w:firstLine="480"/>
        <w:jc w:val="right"/>
        <w:rPr>
          <w:rFonts w:hint="default" w:ascii="宋体" w:hAnsi="宋体" w:cs="宋体"/>
          <w:color w:val="auto"/>
          <w:sz w:val="24"/>
          <w:szCs w:val="24"/>
          <w:highlight w:val="none"/>
        </w:rPr>
      </w:pPr>
    </w:p>
    <w:p w14:paraId="5DBE63EB">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5B7062F8">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357EA1C">
      <w:pPr>
        <w:pStyle w:val="6"/>
        <w:spacing w:line="360" w:lineRule="auto"/>
        <w:rPr>
          <w:rFonts w:ascii="楷体_GB2312" w:eastAsia="楷体_GB2312"/>
          <w:b/>
          <w:color w:val="auto"/>
          <w:sz w:val="44"/>
          <w:szCs w:val="44"/>
          <w:highlight w:val="none"/>
        </w:rPr>
      </w:pPr>
    </w:p>
    <w:p w14:paraId="6277889F">
      <w:pPr>
        <w:pStyle w:val="5"/>
        <w:spacing w:line="360" w:lineRule="auto"/>
        <w:rPr>
          <w:rFonts w:ascii="楷体_GB2312" w:eastAsia="楷体_GB2312"/>
          <w:b/>
          <w:color w:val="auto"/>
          <w:sz w:val="44"/>
          <w:szCs w:val="44"/>
          <w:highlight w:val="none"/>
        </w:rPr>
      </w:pPr>
    </w:p>
    <w:p w14:paraId="12187614">
      <w:pPr>
        <w:pStyle w:val="6"/>
        <w:spacing w:line="360" w:lineRule="auto"/>
        <w:rPr>
          <w:rFonts w:ascii="楷体_GB2312" w:eastAsia="楷体_GB2312"/>
          <w:b/>
          <w:color w:val="auto"/>
          <w:sz w:val="44"/>
          <w:szCs w:val="44"/>
          <w:highlight w:val="none"/>
        </w:rPr>
      </w:pPr>
    </w:p>
    <w:p w14:paraId="0AABBC56">
      <w:pPr>
        <w:pStyle w:val="5"/>
        <w:spacing w:line="360" w:lineRule="auto"/>
        <w:rPr>
          <w:rFonts w:ascii="楷体_GB2312" w:eastAsia="楷体_GB2312"/>
          <w:b/>
          <w:color w:val="auto"/>
          <w:sz w:val="44"/>
          <w:szCs w:val="44"/>
          <w:highlight w:val="none"/>
        </w:rPr>
      </w:pPr>
    </w:p>
    <w:p w14:paraId="20886A81">
      <w:pPr>
        <w:pStyle w:val="6"/>
        <w:spacing w:line="360" w:lineRule="auto"/>
        <w:rPr>
          <w:rFonts w:ascii="楷体_GB2312" w:eastAsia="楷体_GB2312"/>
          <w:b/>
          <w:color w:val="auto"/>
          <w:sz w:val="44"/>
          <w:szCs w:val="44"/>
          <w:highlight w:val="none"/>
        </w:rPr>
      </w:pPr>
    </w:p>
    <w:p w14:paraId="02B7CE0A">
      <w:pPr>
        <w:pStyle w:val="5"/>
        <w:spacing w:line="360" w:lineRule="auto"/>
        <w:rPr>
          <w:color w:val="auto"/>
          <w:highlight w:val="none"/>
        </w:rPr>
      </w:pPr>
    </w:p>
    <w:p w14:paraId="037E2F06">
      <w:pPr>
        <w:pStyle w:val="6"/>
        <w:spacing w:line="360" w:lineRule="auto"/>
        <w:rPr>
          <w:rFonts w:ascii="楷体_GB2312" w:eastAsia="楷体_GB2312"/>
          <w:b/>
          <w:color w:val="auto"/>
          <w:sz w:val="44"/>
          <w:szCs w:val="44"/>
          <w:highlight w:val="none"/>
        </w:rPr>
      </w:pPr>
    </w:p>
    <w:p w14:paraId="4131A36F">
      <w:pPr>
        <w:pStyle w:val="5"/>
        <w:spacing w:line="360" w:lineRule="auto"/>
        <w:rPr>
          <w:rFonts w:ascii="楷体_GB2312" w:eastAsia="楷体_GB2312"/>
          <w:b/>
          <w:color w:val="auto"/>
          <w:sz w:val="44"/>
          <w:szCs w:val="44"/>
          <w:highlight w:val="none"/>
        </w:rPr>
      </w:pPr>
    </w:p>
    <w:p w14:paraId="3E813BAC">
      <w:pPr>
        <w:pStyle w:val="6"/>
        <w:spacing w:line="360" w:lineRule="auto"/>
        <w:rPr>
          <w:rFonts w:ascii="楷体_GB2312" w:eastAsia="楷体_GB2312"/>
          <w:b/>
          <w:color w:val="auto"/>
          <w:sz w:val="44"/>
          <w:szCs w:val="44"/>
          <w:highlight w:val="none"/>
        </w:rPr>
      </w:pPr>
    </w:p>
    <w:p w14:paraId="03A718F7">
      <w:pPr>
        <w:pStyle w:val="5"/>
        <w:spacing w:line="360" w:lineRule="auto"/>
        <w:rPr>
          <w:rFonts w:ascii="楷体_GB2312" w:eastAsia="楷体_GB2312"/>
          <w:b/>
          <w:color w:val="auto"/>
          <w:sz w:val="44"/>
          <w:szCs w:val="44"/>
          <w:highlight w:val="none"/>
        </w:rPr>
      </w:pPr>
    </w:p>
    <w:p w14:paraId="6BFD1D5A">
      <w:pPr>
        <w:pStyle w:val="7"/>
        <w:spacing w:line="360" w:lineRule="auto"/>
        <w:rPr>
          <w:rFonts w:ascii="楷体_GB2312" w:eastAsia="楷体_GB2312"/>
          <w:b/>
          <w:color w:val="auto"/>
          <w:sz w:val="44"/>
          <w:szCs w:val="44"/>
          <w:highlight w:val="none"/>
        </w:rPr>
      </w:pPr>
    </w:p>
    <w:p w14:paraId="158B9B11">
      <w:pPr>
        <w:pStyle w:val="7"/>
        <w:spacing w:line="360" w:lineRule="auto"/>
        <w:rPr>
          <w:rFonts w:ascii="楷体_GB2312" w:eastAsia="楷体_GB2312"/>
          <w:b/>
          <w:color w:val="auto"/>
          <w:sz w:val="44"/>
          <w:szCs w:val="44"/>
          <w:highlight w:val="none"/>
        </w:rPr>
      </w:pPr>
    </w:p>
    <w:p w14:paraId="178E1762">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1B07EC32">
      <w:pPr>
        <w:pStyle w:val="29"/>
        <w:spacing w:after="120" w:line="360" w:lineRule="auto"/>
        <w:outlineLvl w:val="9"/>
        <w:rPr>
          <w:rStyle w:val="30"/>
          <w:rFonts w:hAnsi="宋体" w:cs="宋体"/>
          <w:b/>
          <w:bCs/>
          <w:color w:val="auto"/>
          <w:sz w:val="44"/>
          <w:szCs w:val="44"/>
          <w:highlight w:val="none"/>
        </w:rPr>
      </w:pPr>
    </w:p>
    <w:p w14:paraId="1B97FEBA">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（第二部分  报价部分）</w:t>
      </w:r>
    </w:p>
    <w:p w14:paraId="03A28D59">
      <w:pPr>
        <w:spacing w:line="360" w:lineRule="auto"/>
        <w:ind w:firstLine="1920" w:firstLineChars="200"/>
        <w:jc w:val="left"/>
        <w:rPr>
          <w:color w:val="auto"/>
          <w:sz w:val="96"/>
          <w:szCs w:val="96"/>
          <w:highlight w:val="none"/>
        </w:rPr>
      </w:pPr>
    </w:p>
    <w:p w14:paraId="5C170480">
      <w:pPr>
        <w:spacing w:line="360" w:lineRule="auto"/>
        <w:ind w:firstLine="1920" w:firstLineChars="200"/>
        <w:jc w:val="left"/>
        <w:rPr>
          <w:color w:val="auto"/>
          <w:sz w:val="96"/>
          <w:szCs w:val="96"/>
          <w:highlight w:val="none"/>
        </w:rPr>
      </w:pPr>
    </w:p>
    <w:p w14:paraId="3694F8A7">
      <w:pPr>
        <w:pStyle w:val="3"/>
        <w:spacing w:line="360" w:lineRule="auto"/>
        <w:rPr>
          <w:color w:val="auto"/>
          <w:highlight w:val="none"/>
        </w:rPr>
      </w:pPr>
    </w:p>
    <w:p w14:paraId="5405796D">
      <w:pPr>
        <w:spacing w:line="360" w:lineRule="auto"/>
        <w:ind w:firstLine="1920" w:firstLineChars="200"/>
        <w:jc w:val="left"/>
        <w:rPr>
          <w:color w:val="auto"/>
          <w:sz w:val="96"/>
          <w:szCs w:val="96"/>
          <w:highlight w:val="none"/>
        </w:rPr>
      </w:pPr>
    </w:p>
    <w:p w14:paraId="04E61C4E">
      <w:pPr>
        <w:pStyle w:val="11"/>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0B4E5C73">
      <w:pPr>
        <w:pStyle w:val="11"/>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0D250D49">
      <w:pPr>
        <w:pStyle w:val="11"/>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46F46F66">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6E430AE9">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14:paraId="12F09F2B">
      <w:pPr>
        <w:spacing w:line="360" w:lineRule="auto"/>
        <w:rPr>
          <w:color w:val="auto"/>
          <w:highlight w:val="none"/>
        </w:rPr>
      </w:pPr>
    </w:p>
    <w:p w14:paraId="4F9DC6CF">
      <w:pPr>
        <w:pStyle w:val="7"/>
        <w:spacing w:line="360" w:lineRule="auto"/>
        <w:rPr>
          <w:color w:val="auto"/>
          <w:highlight w:val="none"/>
        </w:rPr>
      </w:pPr>
    </w:p>
    <w:p w14:paraId="61BE0886">
      <w:pPr>
        <w:rPr>
          <w:color w:val="auto"/>
          <w:highlight w:val="none"/>
        </w:rPr>
      </w:pPr>
      <w:r>
        <w:rPr>
          <w:color w:val="auto"/>
          <w:highlight w:val="none"/>
        </w:rPr>
        <w:br w:type="page"/>
      </w:r>
    </w:p>
    <w:p w14:paraId="6E6632B7">
      <w:pPr>
        <w:pStyle w:val="4"/>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1、报价一览表</w:t>
      </w:r>
    </w:p>
    <w:p w14:paraId="7FA8F687">
      <w:pPr>
        <w:pStyle w:val="3"/>
        <w:spacing w:line="360" w:lineRule="auto"/>
        <w:rPr>
          <w:color w:val="auto"/>
          <w:sz w:val="24"/>
          <w:szCs w:val="24"/>
          <w:highlight w:val="none"/>
        </w:rPr>
      </w:pPr>
      <w:r>
        <w:rPr>
          <w:rFonts w:hint="eastAsia"/>
          <w:color w:val="auto"/>
          <w:sz w:val="24"/>
          <w:szCs w:val="24"/>
          <w:highlight w:val="none"/>
        </w:rPr>
        <w:t xml:space="preserve">项目编号：    </w:t>
      </w:r>
    </w:p>
    <w:p w14:paraId="7E449A16">
      <w:pPr>
        <w:pStyle w:val="3"/>
        <w:spacing w:line="360" w:lineRule="auto"/>
        <w:jc w:val="both"/>
        <w:rPr>
          <w:rFonts w:cs="宋体"/>
          <w:color w:val="auto"/>
          <w:sz w:val="24"/>
          <w:highlight w:val="none"/>
        </w:rPr>
      </w:pPr>
      <w:r>
        <w:rPr>
          <w:rFonts w:hint="eastAsia"/>
          <w:color w:val="auto"/>
          <w:sz w:val="24"/>
          <w:szCs w:val="24"/>
          <w:highlight w:val="none"/>
        </w:rPr>
        <w:t xml:space="preserve">项目名称: </w:t>
      </w:r>
    </w:p>
    <w:p w14:paraId="3BE831AB">
      <w:pPr>
        <w:pStyle w:val="31"/>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859"/>
        <w:gridCol w:w="2124"/>
        <w:gridCol w:w="1389"/>
        <w:gridCol w:w="1738"/>
        <w:gridCol w:w="2963"/>
      </w:tblGrid>
      <w:tr w14:paraId="4EDA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44" w:type="pct"/>
            <w:vAlign w:val="center"/>
          </w:tcPr>
          <w:p w14:paraId="18B5BA02">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431" w:type="pct"/>
            <w:vAlign w:val="center"/>
          </w:tcPr>
          <w:p w14:paraId="29BED263">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066" w:type="pct"/>
            <w:vAlign w:val="center"/>
          </w:tcPr>
          <w:p w14:paraId="6B7275EC">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697" w:type="pct"/>
            <w:vAlign w:val="center"/>
          </w:tcPr>
          <w:p w14:paraId="3398141D">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872" w:type="pct"/>
            <w:vAlign w:val="center"/>
          </w:tcPr>
          <w:p w14:paraId="08A2E41C">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1487" w:type="pct"/>
            <w:vAlign w:val="center"/>
          </w:tcPr>
          <w:p w14:paraId="00890AD1">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r>
      <w:tr w14:paraId="68BD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444" w:type="pct"/>
            <w:vAlign w:val="center"/>
          </w:tcPr>
          <w:p w14:paraId="4F2F6142">
            <w:pPr>
              <w:snapToGrid w:val="0"/>
              <w:spacing w:line="360" w:lineRule="auto"/>
              <w:jc w:val="center"/>
              <w:rPr>
                <w:rFonts w:ascii="宋体" w:hAnsi="宋体"/>
                <w:color w:val="auto"/>
                <w:sz w:val="24"/>
                <w:highlight w:val="none"/>
              </w:rPr>
            </w:pPr>
          </w:p>
        </w:tc>
        <w:tc>
          <w:tcPr>
            <w:tcW w:w="431" w:type="pct"/>
            <w:vAlign w:val="center"/>
          </w:tcPr>
          <w:p w14:paraId="5023CF82">
            <w:pPr>
              <w:snapToGrid w:val="0"/>
              <w:spacing w:line="360" w:lineRule="auto"/>
              <w:jc w:val="center"/>
              <w:rPr>
                <w:rFonts w:ascii="宋体" w:hAnsi="宋体"/>
                <w:color w:val="auto"/>
                <w:sz w:val="24"/>
                <w:highlight w:val="none"/>
              </w:rPr>
            </w:pPr>
          </w:p>
        </w:tc>
        <w:tc>
          <w:tcPr>
            <w:tcW w:w="1066" w:type="pct"/>
            <w:vAlign w:val="center"/>
          </w:tcPr>
          <w:p w14:paraId="47A5B23F">
            <w:pPr>
              <w:snapToGrid w:val="0"/>
              <w:spacing w:line="360" w:lineRule="auto"/>
              <w:jc w:val="center"/>
              <w:rPr>
                <w:rFonts w:ascii="宋体" w:hAnsi="宋体"/>
                <w:color w:val="auto"/>
                <w:sz w:val="24"/>
                <w:highlight w:val="none"/>
              </w:rPr>
            </w:pPr>
          </w:p>
        </w:tc>
        <w:tc>
          <w:tcPr>
            <w:tcW w:w="697" w:type="pct"/>
            <w:vAlign w:val="center"/>
          </w:tcPr>
          <w:p w14:paraId="35875327">
            <w:pPr>
              <w:snapToGrid w:val="0"/>
              <w:spacing w:line="360" w:lineRule="auto"/>
              <w:jc w:val="center"/>
              <w:rPr>
                <w:rFonts w:ascii="宋体" w:hAnsi="宋体"/>
                <w:color w:val="auto"/>
                <w:sz w:val="24"/>
                <w:highlight w:val="none"/>
              </w:rPr>
            </w:pPr>
          </w:p>
        </w:tc>
        <w:tc>
          <w:tcPr>
            <w:tcW w:w="872" w:type="pct"/>
            <w:vAlign w:val="center"/>
          </w:tcPr>
          <w:p w14:paraId="2EE9FE0F">
            <w:pPr>
              <w:snapToGrid w:val="0"/>
              <w:spacing w:line="360" w:lineRule="auto"/>
              <w:jc w:val="center"/>
              <w:rPr>
                <w:rFonts w:ascii="宋体" w:hAnsi="宋体" w:cs="宋体"/>
                <w:color w:val="auto"/>
                <w:kern w:val="0"/>
                <w:sz w:val="24"/>
                <w:highlight w:val="none"/>
              </w:rPr>
            </w:pPr>
          </w:p>
        </w:tc>
        <w:tc>
          <w:tcPr>
            <w:tcW w:w="1487" w:type="pct"/>
            <w:vAlign w:val="center"/>
          </w:tcPr>
          <w:p w14:paraId="43899DB3">
            <w:pPr>
              <w:widowControl/>
              <w:spacing w:line="360" w:lineRule="auto"/>
              <w:jc w:val="left"/>
              <w:rPr>
                <w:rFonts w:ascii="宋体" w:hAnsi="宋体"/>
                <w:color w:val="auto"/>
                <w:sz w:val="24"/>
                <w:highlight w:val="none"/>
              </w:rPr>
            </w:pPr>
          </w:p>
        </w:tc>
      </w:tr>
    </w:tbl>
    <w:p w14:paraId="6D009CB1">
      <w:pPr>
        <w:pStyle w:val="31"/>
        <w:spacing w:line="360" w:lineRule="auto"/>
        <w:ind w:firstLine="6240" w:firstLineChars="2600"/>
        <w:rPr>
          <w:rFonts w:ascii="宋体" w:hAnsi="宋体"/>
          <w:color w:val="auto"/>
          <w:sz w:val="24"/>
          <w:highlight w:val="none"/>
        </w:rPr>
      </w:pPr>
    </w:p>
    <w:p w14:paraId="5A8F73B0">
      <w:pPr>
        <w:pStyle w:val="31"/>
        <w:spacing w:line="360" w:lineRule="auto"/>
        <w:ind w:firstLine="6240" w:firstLineChars="2600"/>
        <w:rPr>
          <w:rFonts w:ascii="宋体" w:hAnsi="宋体"/>
          <w:color w:val="auto"/>
          <w:sz w:val="24"/>
          <w:highlight w:val="none"/>
        </w:rPr>
      </w:pPr>
    </w:p>
    <w:p w14:paraId="635E0136">
      <w:pPr>
        <w:pStyle w:val="31"/>
        <w:spacing w:line="360" w:lineRule="auto"/>
        <w:ind w:firstLine="6240" w:firstLineChars="2600"/>
        <w:rPr>
          <w:rFonts w:ascii="宋体" w:hAnsi="宋体"/>
          <w:color w:val="auto"/>
          <w:sz w:val="24"/>
          <w:highlight w:val="none"/>
        </w:rPr>
      </w:pPr>
    </w:p>
    <w:p w14:paraId="40462C76">
      <w:pPr>
        <w:pStyle w:val="16"/>
        <w:spacing w:before="75" w:beforeAutospacing="0" w:after="75" w:afterAutospacing="0" w:line="360" w:lineRule="auto"/>
        <w:rPr>
          <w:color w:val="auto"/>
          <w:sz w:val="28"/>
          <w:szCs w:val="28"/>
          <w:highlight w:val="none"/>
        </w:rPr>
      </w:pPr>
    </w:p>
    <w:p w14:paraId="3561DACF">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14:paraId="73E03F27">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14:paraId="533352E0">
      <w:pPr>
        <w:spacing w:line="360" w:lineRule="auto"/>
        <w:ind w:firstLine="3240" w:firstLineChars="1350"/>
        <w:rPr>
          <w:color w:val="auto"/>
          <w:highlight w:val="none"/>
        </w:rPr>
      </w:pPr>
      <w:r>
        <w:rPr>
          <w:rFonts w:hint="eastAsia" w:ascii="宋体" w:hAnsi="宋体"/>
          <w:color w:val="auto"/>
          <w:sz w:val="24"/>
          <w:highlight w:val="none"/>
        </w:rPr>
        <w:t>日期：</w:t>
      </w:r>
    </w:p>
    <w:p w14:paraId="41820D5B">
      <w:pPr>
        <w:spacing w:line="360" w:lineRule="auto"/>
        <w:rPr>
          <w:color w:val="auto"/>
          <w:highlight w:val="none"/>
        </w:rPr>
      </w:pPr>
    </w:p>
    <w:p w14:paraId="590EAB34">
      <w:pPr>
        <w:spacing w:line="360" w:lineRule="auto"/>
        <w:rPr>
          <w:color w:val="auto"/>
          <w:highlight w:val="none"/>
        </w:rPr>
      </w:pPr>
    </w:p>
    <w:p w14:paraId="528C9F5E">
      <w:pPr>
        <w:spacing w:line="360" w:lineRule="auto"/>
        <w:rPr>
          <w:color w:val="auto"/>
          <w:highlight w:val="none"/>
        </w:rPr>
      </w:pPr>
    </w:p>
    <w:p w14:paraId="2123FF8A">
      <w:pPr>
        <w:pStyle w:val="4"/>
        <w:spacing w:line="360" w:lineRule="auto"/>
        <w:rPr>
          <w:color w:val="auto"/>
          <w:highlight w:val="none"/>
        </w:rPr>
      </w:pPr>
    </w:p>
    <w:p w14:paraId="41224DC2">
      <w:pPr>
        <w:spacing w:line="360" w:lineRule="auto"/>
        <w:rPr>
          <w:color w:val="auto"/>
          <w:highlight w:val="none"/>
        </w:rPr>
      </w:pPr>
    </w:p>
    <w:p w14:paraId="5B23AD61">
      <w:pPr>
        <w:pStyle w:val="4"/>
        <w:spacing w:line="360" w:lineRule="auto"/>
        <w:rPr>
          <w:color w:val="auto"/>
          <w:highlight w:val="none"/>
        </w:rPr>
      </w:pPr>
    </w:p>
    <w:p w14:paraId="4791F3FD">
      <w:pPr>
        <w:spacing w:line="360" w:lineRule="auto"/>
        <w:rPr>
          <w:color w:val="auto"/>
          <w:highlight w:val="none"/>
        </w:rPr>
      </w:pPr>
    </w:p>
    <w:p w14:paraId="369C04CA">
      <w:pPr>
        <w:numPr>
          <w:ilvl w:val="0"/>
          <w:numId w:val="6"/>
        </w:numPr>
        <w:spacing w:line="360" w:lineRule="auto"/>
        <w:jc w:val="center"/>
        <w:rPr>
          <w:color w:val="auto"/>
          <w:highlight w:val="none"/>
        </w:rPr>
      </w:pPr>
      <w:r>
        <w:rPr>
          <w:color w:val="auto"/>
          <w:highlight w:val="none"/>
        </w:rPr>
        <w:br w:type="page"/>
      </w:r>
    </w:p>
    <w:p w14:paraId="708624BE">
      <w:pPr>
        <w:pStyle w:val="4"/>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2、服务分项报价表（若有）</w:t>
      </w:r>
    </w:p>
    <w:p w14:paraId="19508C0B">
      <w:pPr>
        <w:pStyle w:val="3"/>
        <w:spacing w:line="360" w:lineRule="auto"/>
        <w:rPr>
          <w:color w:val="auto"/>
          <w:sz w:val="24"/>
          <w:szCs w:val="24"/>
          <w:highlight w:val="none"/>
        </w:rPr>
      </w:pPr>
      <w:r>
        <w:rPr>
          <w:rFonts w:hint="eastAsia"/>
          <w:color w:val="auto"/>
          <w:sz w:val="24"/>
          <w:szCs w:val="24"/>
          <w:highlight w:val="none"/>
        </w:rPr>
        <w:t xml:space="preserve">项目编号：    </w:t>
      </w:r>
    </w:p>
    <w:p w14:paraId="63C75F5F">
      <w:pPr>
        <w:pStyle w:val="3"/>
        <w:spacing w:line="360" w:lineRule="auto"/>
        <w:jc w:val="both"/>
        <w:rPr>
          <w:rFonts w:cs="宋体"/>
          <w:color w:val="auto"/>
          <w:sz w:val="24"/>
          <w:highlight w:val="none"/>
        </w:rPr>
      </w:pPr>
      <w:r>
        <w:rPr>
          <w:rFonts w:hint="eastAsia"/>
          <w:color w:val="auto"/>
          <w:sz w:val="24"/>
          <w:szCs w:val="24"/>
          <w:highlight w:val="none"/>
        </w:rPr>
        <w:t xml:space="preserve">项目名称: </w:t>
      </w:r>
    </w:p>
    <w:p w14:paraId="026095B6">
      <w:pPr>
        <w:pStyle w:val="31"/>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5B22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322A5CAD">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68E06816">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22BA0D8B">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服务名称</w:t>
            </w:r>
          </w:p>
        </w:tc>
        <w:tc>
          <w:tcPr>
            <w:tcW w:w="1289" w:type="dxa"/>
            <w:vAlign w:val="center"/>
          </w:tcPr>
          <w:p w14:paraId="5757BF11">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14:paraId="02AF73A5">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14:paraId="6CD2C445">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合计</w:t>
            </w:r>
          </w:p>
        </w:tc>
      </w:tr>
      <w:tr w14:paraId="5508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7CF383C2">
            <w:pPr>
              <w:snapToGrid w:val="0"/>
              <w:spacing w:line="360" w:lineRule="auto"/>
              <w:jc w:val="center"/>
              <w:rPr>
                <w:rFonts w:ascii="宋体" w:hAnsi="宋体"/>
                <w:color w:val="auto"/>
                <w:sz w:val="24"/>
                <w:highlight w:val="none"/>
              </w:rPr>
            </w:pPr>
          </w:p>
        </w:tc>
        <w:tc>
          <w:tcPr>
            <w:tcW w:w="797" w:type="dxa"/>
            <w:vAlign w:val="center"/>
          </w:tcPr>
          <w:p w14:paraId="5F5752EE">
            <w:pPr>
              <w:snapToGrid w:val="0"/>
              <w:spacing w:line="360" w:lineRule="auto"/>
              <w:jc w:val="center"/>
              <w:rPr>
                <w:rFonts w:ascii="宋体" w:hAnsi="宋体"/>
                <w:color w:val="auto"/>
                <w:sz w:val="24"/>
                <w:highlight w:val="none"/>
              </w:rPr>
            </w:pPr>
          </w:p>
        </w:tc>
        <w:tc>
          <w:tcPr>
            <w:tcW w:w="1967" w:type="dxa"/>
            <w:vAlign w:val="center"/>
          </w:tcPr>
          <w:p w14:paraId="0BF02108">
            <w:pPr>
              <w:snapToGrid w:val="0"/>
              <w:spacing w:line="360" w:lineRule="auto"/>
              <w:jc w:val="center"/>
              <w:rPr>
                <w:rFonts w:ascii="宋体" w:hAnsi="宋体"/>
                <w:color w:val="auto"/>
                <w:sz w:val="24"/>
                <w:highlight w:val="none"/>
              </w:rPr>
            </w:pPr>
          </w:p>
        </w:tc>
        <w:tc>
          <w:tcPr>
            <w:tcW w:w="1289" w:type="dxa"/>
            <w:vAlign w:val="center"/>
          </w:tcPr>
          <w:p w14:paraId="1637437F">
            <w:pPr>
              <w:snapToGrid w:val="0"/>
              <w:spacing w:line="360" w:lineRule="auto"/>
              <w:jc w:val="center"/>
              <w:rPr>
                <w:rFonts w:ascii="宋体" w:hAnsi="宋体"/>
                <w:color w:val="auto"/>
                <w:sz w:val="24"/>
                <w:highlight w:val="none"/>
              </w:rPr>
            </w:pPr>
          </w:p>
        </w:tc>
        <w:tc>
          <w:tcPr>
            <w:tcW w:w="1613" w:type="dxa"/>
            <w:vAlign w:val="center"/>
          </w:tcPr>
          <w:p w14:paraId="3C62B57F">
            <w:pPr>
              <w:snapToGrid w:val="0"/>
              <w:spacing w:line="360" w:lineRule="auto"/>
              <w:jc w:val="center"/>
              <w:rPr>
                <w:rFonts w:ascii="宋体" w:hAnsi="宋体" w:cs="宋体"/>
                <w:color w:val="auto"/>
                <w:kern w:val="0"/>
                <w:sz w:val="24"/>
                <w:highlight w:val="none"/>
              </w:rPr>
            </w:pPr>
          </w:p>
        </w:tc>
        <w:tc>
          <w:tcPr>
            <w:tcW w:w="2746" w:type="dxa"/>
            <w:vAlign w:val="center"/>
          </w:tcPr>
          <w:p w14:paraId="12CE3D02">
            <w:pPr>
              <w:widowControl/>
              <w:spacing w:line="360" w:lineRule="auto"/>
              <w:jc w:val="left"/>
              <w:rPr>
                <w:rFonts w:ascii="宋体" w:hAnsi="宋体"/>
                <w:color w:val="auto"/>
                <w:sz w:val="24"/>
                <w:highlight w:val="none"/>
              </w:rPr>
            </w:pPr>
          </w:p>
        </w:tc>
      </w:tr>
      <w:tr w14:paraId="1E8C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29A9BE28">
            <w:pPr>
              <w:snapToGrid w:val="0"/>
              <w:spacing w:line="360" w:lineRule="auto"/>
              <w:jc w:val="center"/>
              <w:rPr>
                <w:rFonts w:ascii="宋体" w:hAnsi="宋体"/>
                <w:color w:val="auto"/>
                <w:sz w:val="24"/>
                <w:highlight w:val="none"/>
              </w:rPr>
            </w:pPr>
          </w:p>
        </w:tc>
        <w:tc>
          <w:tcPr>
            <w:tcW w:w="797" w:type="dxa"/>
            <w:vAlign w:val="center"/>
          </w:tcPr>
          <w:p w14:paraId="171BD243">
            <w:pPr>
              <w:snapToGrid w:val="0"/>
              <w:spacing w:line="360" w:lineRule="auto"/>
              <w:jc w:val="center"/>
              <w:rPr>
                <w:rFonts w:ascii="宋体" w:hAnsi="宋体"/>
                <w:color w:val="auto"/>
                <w:sz w:val="24"/>
                <w:highlight w:val="none"/>
              </w:rPr>
            </w:pPr>
          </w:p>
        </w:tc>
        <w:tc>
          <w:tcPr>
            <w:tcW w:w="1967" w:type="dxa"/>
            <w:vAlign w:val="center"/>
          </w:tcPr>
          <w:p w14:paraId="3F496DE3">
            <w:pPr>
              <w:snapToGrid w:val="0"/>
              <w:spacing w:line="360" w:lineRule="auto"/>
              <w:jc w:val="center"/>
              <w:rPr>
                <w:rFonts w:ascii="宋体" w:hAnsi="宋体"/>
                <w:color w:val="auto"/>
                <w:sz w:val="24"/>
                <w:highlight w:val="none"/>
              </w:rPr>
            </w:pPr>
          </w:p>
        </w:tc>
        <w:tc>
          <w:tcPr>
            <w:tcW w:w="1289" w:type="dxa"/>
            <w:vAlign w:val="center"/>
          </w:tcPr>
          <w:p w14:paraId="067D6195">
            <w:pPr>
              <w:snapToGrid w:val="0"/>
              <w:spacing w:line="360" w:lineRule="auto"/>
              <w:jc w:val="center"/>
              <w:rPr>
                <w:rFonts w:ascii="宋体" w:hAnsi="宋体"/>
                <w:color w:val="auto"/>
                <w:sz w:val="24"/>
                <w:highlight w:val="none"/>
              </w:rPr>
            </w:pPr>
          </w:p>
        </w:tc>
        <w:tc>
          <w:tcPr>
            <w:tcW w:w="1613" w:type="dxa"/>
            <w:vAlign w:val="center"/>
          </w:tcPr>
          <w:p w14:paraId="0F432610">
            <w:pPr>
              <w:snapToGrid w:val="0"/>
              <w:spacing w:line="360" w:lineRule="auto"/>
              <w:jc w:val="center"/>
              <w:rPr>
                <w:rFonts w:ascii="宋体" w:hAnsi="宋体" w:cs="宋体"/>
                <w:color w:val="auto"/>
                <w:kern w:val="0"/>
                <w:sz w:val="24"/>
                <w:highlight w:val="none"/>
              </w:rPr>
            </w:pPr>
          </w:p>
        </w:tc>
        <w:tc>
          <w:tcPr>
            <w:tcW w:w="2746" w:type="dxa"/>
            <w:vAlign w:val="center"/>
          </w:tcPr>
          <w:p w14:paraId="7E78070B">
            <w:pPr>
              <w:widowControl/>
              <w:spacing w:line="360" w:lineRule="auto"/>
              <w:jc w:val="left"/>
              <w:rPr>
                <w:rFonts w:ascii="宋体" w:hAnsi="宋体"/>
                <w:color w:val="auto"/>
                <w:sz w:val="24"/>
                <w:highlight w:val="none"/>
              </w:rPr>
            </w:pPr>
          </w:p>
        </w:tc>
      </w:tr>
      <w:tr w14:paraId="1139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4F948B87">
            <w:pPr>
              <w:snapToGrid w:val="0"/>
              <w:spacing w:line="360" w:lineRule="auto"/>
              <w:jc w:val="center"/>
              <w:rPr>
                <w:rFonts w:ascii="宋体" w:hAnsi="宋体"/>
                <w:color w:val="auto"/>
                <w:sz w:val="24"/>
                <w:highlight w:val="none"/>
              </w:rPr>
            </w:pPr>
          </w:p>
        </w:tc>
        <w:tc>
          <w:tcPr>
            <w:tcW w:w="797" w:type="dxa"/>
            <w:vAlign w:val="center"/>
          </w:tcPr>
          <w:p w14:paraId="33CC3CCE">
            <w:pPr>
              <w:snapToGrid w:val="0"/>
              <w:spacing w:line="360" w:lineRule="auto"/>
              <w:jc w:val="center"/>
              <w:rPr>
                <w:rFonts w:ascii="宋体" w:hAnsi="宋体"/>
                <w:color w:val="auto"/>
                <w:sz w:val="24"/>
                <w:highlight w:val="none"/>
              </w:rPr>
            </w:pPr>
          </w:p>
        </w:tc>
        <w:tc>
          <w:tcPr>
            <w:tcW w:w="1967" w:type="dxa"/>
            <w:vAlign w:val="center"/>
          </w:tcPr>
          <w:p w14:paraId="129C9D09">
            <w:pPr>
              <w:snapToGrid w:val="0"/>
              <w:spacing w:line="360" w:lineRule="auto"/>
              <w:jc w:val="center"/>
              <w:rPr>
                <w:rFonts w:ascii="宋体" w:hAnsi="宋体"/>
                <w:color w:val="auto"/>
                <w:sz w:val="24"/>
                <w:highlight w:val="none"/>
              </w:rPr>
            </w:pPr>
          </w:p>
        </w:tc>
        <w:tc>
          <w:tcPr>
            <w:tcW w:w="1289" w:type="dxa"/>
            <w:vAlign w:val="center"/>
          </w:tcPr>
          <w:p w14:paraId="379A72F1">
            <w:pPr>
              <w:snapToGrid w:val="0"/>
              <w:spacing w:line="360" w:lineRule="auto"/>
              <w:jc w:val="center"/>
              <w:rPr>
                <w:rFonts w:ascii="宋体" w:hAnsi="宋体"/>
                <w:color w:val="auto"/>
                <w:sz w:val="24"/>
                <w:highlight w:val="none"/>
              </w:rPr>
            </w:pPr>
          </w:p>
        </w:tc>
        <w:tc>
          <w:tcPr>
            <w:tcW w:w="1613" w:type="dxa"/>
            <w:vAlign w:val="center"/>
          </w:tcPr>
          <w:p w14:paraId="402D1FB5">
            <w:pPr>
              <w:snapToGrid w:val="0"/>
              <w:spacing w:line="360" w:lineRule="auto"/>
              <w:jc w:val="center"/>
              <w:rPr>
                <w:rFonts w:ascii="宋体" w:hAnsi="宋体" w:cs="宋体"/>
                <w:color w:val="auto"/>
                <w:kern w:val="0"/>
                <w:sz w:val="24"/>
                <w:highlight w:val="none"/>
              </w:rPr>
            </w:pPr>
          </w:p>
        </w:tc>
        <w:tc>
          <w:tcPr>
            <w:tcW w:w="2746" w:type="dxa"/>
            <w:vAlign w:val="center"/>
          </w:tcPr>
          <w:p w14:paraId="7546DEF0">
            <w:pPr>
              <w:widowControl/>
              <w:spacing w:line="360" w:lineRule="auto"/>
              <w:jc w:val="left"/>
              <w:rPr>
                <w:rFonts w:ascii="宋体" w:hAnsi="宋体"/>
                <w:color w:val="auto"/>
                <w:sz w:val="24"/>
                <w:highlight w:val="none"/>
              </w:rPr>
            </w:pPr>
          </w:p>
        </w:tc>
      </w:tr>
      <w:tr w14:paraId="00E8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22B5D633">
            <w:pPr>
              <w:widowControl/>
              <w:spacing w:line="360" w:lineRule="auto"/>
              <w:jc w:val="left"/>
              <w:rPr>
                <w:rFonts w:ascii="宋体" w:hAnsi="宋体"/>
                <w:color w:val="auto"/>
                <w:sz w:val="24"/>
                <w:highlight w:val="none"/>
              </w:rPr>
            </w:pPr>
            <w:r>
              <w:rPr>
                <w:rFonts w:hint="eastAsia" w:ascii="宋体" w:hAnsi="宋体"/>
                <w:color w:val="auto"/>
                <w:sz w:val="24"/>
                <w:highlight w:val="none"/>
              </w:rPr>
              <w:t>合同包总价：</w:t>
            </w:r>
          </w:p>
        </w:tc>
      </w:tr>
    </w:tbl>
    <w:p w14:paraId="451B0C5F">
      <w:pPr>
        <w:pStyle w:val="31"/>
        <w:spacing w:line="360" w:lineRule="auto"/>
        <w:ind w:firstLine="6240" w:firstLineChars="2600"/>
        <w:rPr>
          <w:rFonts w:ascii="宋体" w:hAnsi="宋体"/>
          <w:color w:val="auto"/>
          <w:sz w:val="24"/>
          <w:highlight w:val="none"/>
        </w:rPr>
      </w:pPr>
    </w:p>
    <w:p w14:paraId="6CC225EB">
      <w:pPr>
        <w:pStyle w:val="31"/>
        <w:spacing w:line="360" w:lineRule="auto"/>
        <w:ind w:firstLine="6240" w:firstLineChars="2600"/>
        <w:rPr>
          <w:rFonts w:ascii="宋体" w:hAnsi="宋体"/>
          <w:color w:val="auto"/>
          <w:sz w:val="24"/>
          <w:highlight w:val="none"/>
        </w:rPr>
      </w:pPr>
    </w:p>
    <w:p w14:paraId="7B255C1E">
      <w:pPr>
        <w:pStyle w:val="16"/>
        <w:spacing w:before="75" w:beforeAutospacing="0" w:after="75" w:afterAutospacing="0" w:line="360" w:lineRule="auto"/>
        <w:rPr>
          <w:color w:val="auto"/>
          <w:sz w:val="28"/>
          <w:szCs w:val="28"/>
          <w:highlight w:val="none"/>
        </w:rPr>
      </w:pPr>
    </w:p>
    <w:p w14:paraId="4F2F9978">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7117225C">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3FE0E67E">
      <w:pPr>
        <w:spacing w:line="360" w:lineRule="auto"/>
        <w:rPr>
          <w:color w:val="auto"/>
          <w:highlight w:val="none"/>
        </w:rPr>
      </w:pPr>
      <w:r>
        <w:rPr>
          <w:rFonts w:hint="eastAsia" w:ascii="宋体" w:hAnsi="宋体"/>
          <w:color w:val="auto"/>
          <w:sz w:val="24"/>
          <w:highlight w:val="none"/>
        </w:rPr>
        <w:t>日期：</w:t>
      </w:r>
    </w:p>
    <w:p w14:paraId="29C718B9">
      <w:pPr>
        <w:spacing w:line="360" w:lineRule="auto"/>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BAA33">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21D8C0E">
                          <w:pPr>
                            <w:pStyle w:val="14"/>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721D8C0E">
                    <w:pPr>
                      <w:pStyle w:val="14"/>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D0761"/>
    <w:multiLevelType w:val="singleLevel"/>
    <w:tmpl w:val="858D0761"/>
    <w:lvl w:ilvl="0" w:tentative="0">
      <w:start w:val="1"/>
      <w:numFmt w:val="decimal"/>
      <w:suff w:val="nothing"/>
      <w:lvlText w:val="（%1）"/>
      <w:lvlJc w:val="left"/>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3B44D3C6"/>
    <w:multiLevelType w:val="singleLevel"/>
    <w:tmpl w:val="3B44D3C6"/>
    <w:lvl w:ilvl="0" w:tentative="0">
      <w:start w:val="2"/>
      <w:numFmt w:val="decimal"/>
      <w:suff w:val="nothing"/>
      <w:lvlText w:val="%1、"/>
      <w:lvlJc w:val="left"/>
      <w:pPr>
        <w:ind w:left="3150"/>
      </w:pPr>
    </w:lvl>
  </w:abstractNum>
  <w:abstractNum w:abstractNumId="4">
    <w:nsid w:val="46B3DA6D"/>
    <w:multiLevelType w:val="singleLevel"/>
    <w:tmpl w:val="46B3DA6D"/>
    <w:lvl w:ilvl="0" w:tentative="0">
      <w:start w:val="2"/>
      <w:numFmt w:val="decimal"/>
      <w:suff w:val="nothing"/>
      <w:lvlText w:val="（%1）"/>
      <w:lvlJc w:val="left"/>
    </w:lvl>
  </w:abstractNum>
  <w:abstractNum w:abstractNumId="5">
    <w:nsid w:val="79BE447F"/>
    <w:multiLevelType w:val="singleLevel"/>
    <w:tmpl w:val="79BE447F"/>
    <w:lvl w:ilvl="0" w:tentative="0">
      <w:start w:val="1"/>
      <w:numFmt w:val="decimal"/>
      <w:suff w:val="nothing"/>
      <w:lvlText w:val="（%1）"/>
      <w:lvlJc w:val="left"/>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MzExYTkxNzFkZWE5YmU3MTE5YzlhOWM2YzE1ZjcifQ=="/>
  </w:docVars>
  <w:rsids>
    <w:rsidRoot w:val="0068537E"/>
    <w:rsid w:val="00027D4D"/>
    <w:rsid w:val="00031AD6"/>
    <w:rsid w:val="00121FB2"/>
    <w:rsid w:val="00345BF3"/>
    <w:rsid w:val="0068537E"/>
    <w:rsid w:val="00B46266"/>
    <w:rsid w:val="00C141DA"/>
    <w:rsid w:val="00C31F69"/>
    <w:rsid w:val="00D00D39"/>
    <w:rsid w:val="00E02348"/>
    <w:rsid w:val="024723CA"/>
    <w:rsid w:val="04EF2DE0"/>
    <w:rsid w:val="08143E14"/>
    <w:rsid w:val="09A06EBC"/>
    <w:rsid w:val="09BB2135"/>
    <w:rsid w:val="0B45386E"/>
    <w:rsid w:val="0BC63052"/>
    <w:rsid w:val="0C126086"/>
    <w:rsid w:val="0D4E228E"/>
    <w:rsid w:val="0DEE133C"/>
    <w:rsid w:val="0DFC6B97"/>
    <w:rsid w:val="12A94311"/>
    <w:rsid w:val="12E8710C"/>
    <w:rsid w:val="137C24C7"/>
    <w:rsid w:val="14000B07"/>
    <w:rsid w:val="14942B05"/>
    <w:rsid w:val="15235970"/>
    <w:rsid w:val="15247171"/>
    <w:rsid w:val="15A54AE3"/>
    <w:rsid w:val="16F53396"/>
    <w:rsid w:val="17324C05"/>
    <w:rsid w:val="1817699B"/>
    <w:rsid w:val="191A53F6"/>
    <w:rsid w:val="19413534"/>
    <w:rsid w:val="1A53594C"/>
    <w:rsid w:val="1AD77600"/>
    <w:rsid w:val="1ADE3486"/>
    <w:rsid w:val="1CA26245"/>
    <w:rsid w:val="1D1B522E"/>
    <w:rsid w:val="1DF727BC"/>
    <w:rsid w:val="1DFC4E79"/>
    <w:rsid w:val="1E2C09AB"/>
    <w:rsid w:val="1E7B7C40"/>
    <w:rsid w:val="1E897F61"/>
    <w:rsid w:val="1EC57EC3"/>
    <w:rsid w:val="1FB35AA9"/>
    <w:rsid w:val="22BB6164"/>
    <w:rsid w:val="22C676A0"/>
    <w:rsid w:val="23C8685E"/>
    <w:rsid w:val="246E43C5"/>
    <w:rsid w:val="25472BF5"/>
    <w:rsid w:val="26231AF0"/>
    <w:rsid w:val="2778394C"/>
    <w:rsid w:val="27C42B43"/>
    <w:rsid w:val="28595757"/>
    <w:rsid w:val="28A11BB3"/>
    <w:rsid w:val="2AC505F3"/>
    <w:rsid w:val="2BB5293D"/>
    <w:rsid w:val="2C1A6AFF"/>
    <w:rsid w:val="2CF20FA2"/>
    <w:rsid w:val="2F826E93"/>
    <w:rsid w:val="314B5F88"/>
    <w:rsid w:val="3214608E"/>
    <w:rsid w:val="33A8402F"/>
    <w:rsid w:val="36244CE0"/>
    <w:rsid w:val="36676F28"/>
    <w:rsid w:val="36F71D9D"/>
    <w:rsid w:val="38057A77"/>
    <w:rsid w:val="38AD2C56"/>
    <w:rsid w:val="3AB52C3C"/>
    <w:rsid w:val="3D6C7658"/>
    <w:rsid w:val="3DC2628F"/>
    <w:rsid w:val="3DF12237"/>
    <w:rsid w:val="3E225B46"/>
    <w:rsid w:val="3ED122A0"/>
    <w:rsid w:val="3F850CF3"/>
    <w:rsid w:val="4199686D"/>
    <w:rsid w:val="42B81734"/>
    <w:rsid w:val="4564374E"/>
    <w:rsid w:val="47951441"/>
    <w:rsid w:val="47D84234"/>
    <w:rsid w:val="48230A72"/>
    <w:rsid w:val="489259CA"/>
    <w:rsid w:val="489526AE"/>
    <w:rsid w:val="4B2107DF"/>
    <w:rsid w:val="4CE2174D"/>
    <w:rsid w:val="4D66222C"/>
    <w:rsid w:val="4D824513"/>
    <w:rsid w:val="4DB8035E"/>
    <w:rsid w:val="4DE14AE4"/>
    <w:rsid w:val="4E182762"/>
    <w:rsid w:val="4F237297"/>
    <w:rsid w:val="50E86392"/>
    <w:rsid w:val="51497716"/>
    <w:rsid w:val="51B74CC0"/>
    <w:rsid w:val="51C7007A"/>
    <w:rsid w:val="522C2C59"/>
    <w:rsid w:val="52886937"/>
    <w:rsid w:val="5333294C"/>
    <w:rsid w:val="533509B9"/>
    <w:rsid w:val="55B57D03"/>
    <w:rsid w:val="563929F4"/>
    <w:rsid w:val="570A6A93"/>
    <w:rsid w:val="572F491B"/>
    <w:rsid w:val="574F3257"/>
    <w:rsid w:val="57F55ADD"/>
    <w:rsid w:val="58F506B4"/>
    <w:rsid w:val="59E500CD"/>
    <w:rsid w:val="5B761B8D"/>
    <w:rsid w:val="5C8A37E8"/>
    <w:rsid w:val="5E0B32F7"/>
    <w:rsid w:val="5E741D96"/>
    <w:rsid w:val="5ED510A9"/>
    <w:rsid w:val="5F480A54"/>
    <w:rsid w:val="641847D4"/>
    <w:rsid w:val="66E85E24"/>
    <w:rsid w:val="67BA53B7"/>
    <w:rsid w:val="68A9480A"/>
    <w:rsid w:val="69E70454"/>
    <w:rsid w:val="6A1A1EE9"/>
    <w:rsid w:val="6A7B495D"/>
    <w:rsid w:val="6AB61037"/>
    <w:rsid w:val="6CA452B9"/>
    <w:rsid w:val="6F2D3F54"/>
    <w:rsid w:val="6F636FB7"/>
    <w:rsid w:val="716F557B"/>
    <w:rsid w:val="72BB3CBA"/>
    <w:rsid w:val="741B7106"/>
    <w:rsid w:val="74991F10"/>
    <w:rsid w:val="74B308B5"/>
    <w:rsid w:val="74C332FB"/>
    <w:rsid w:val="75247769"/>
    <w:rsid w:val="76724CB1"/>
    <w:rsid w:val="76D85F24"/>
    <w:rsid w:val="77A44224"/>
    <w:rsid w:val="784B177B"/>
    <w:rsid w:val="78935FD8"/>
    <w:rsid w:val="78D0162B"/>
    <w:rsid w:val="7D3F0A9F"/>
    <w:rsid w:val="7D557E56"/>
    <w:rsid w:val="7D731875"/>
    <w:rsid w:val="7E626048"/>
    <w:rsid w:val="7F271109"/>
    <w:rsid w:val="7FA1147B"/>
    <w:rsid w:val="7FA37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unhideWhenUsed/>
    <w:qFormat/>
    <w:uiPriority w:val="9"/>
    <w:pPr>
      <w:keepNext/>
      <w:keepLines/>
      <w:spacing w:before="260" w:after="260" w:line="416" w:lineRule="auto"/>
      <w:outlineLvl w:val="2"/>
    </w:pPr>
    <w:rPr>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Document Map"/>
    <w:basedOn w:val="1"/>
    <w:next w:val="1"/>
    <w:qFormat/>
    <w:uiPriority w:val="99"/>
    <w:pPr>
      <w:shd w:val="clear" w:color="000000" w:fill="00007F"/>
    </w:pPr>
    <w:rPr>
      <w:kern w:val="1"/>
    </w:rPr>
  </w:style>
  <w:style w:type="paragraph" w:styleId="9">
    <w:name w:val="annotation text"/>
    <w:basedOn w:val="1"/>
    <w:qFormat/>
    <w:uiPriority w:val="0"/>
    <w:pPr>
      <w:jc w:val="left"/>
    </w:pPr>
  </w:style>
  <w:style w:type="paragraph" w:styleId="10">
    <w:name w:val="Body Text"/>
    <w:basedOn w:val="1"/>
    <w:qFormat/>
    <w:uiPriority w:val="0"/>
    <w:pPr>
      <w:spacing w:after="120"/>
    </w:pPr>
  </w:style>
  <w:style w:type="paragraph" w:styleId="11">
    <w:name w:val="Plain Text"/>
    <w:basedOn w:val="1"/>
    <w:qFormat/>
    <w:uiPriority w:val="0"/>
    <w:rPr>
      <w:rFonts w:ascii="宋体" w:hAnsi="Courier New"/>
      <w:kern w:val="0"/>
      <w:sz w:val="20"/>
    </w:rPr>
  </w:style>
  <w:style w:type="paragraph" w:styleId="12">
    <w:name w:val="Body Text Indent 2"/>
    <w:basedOn w:val="1"/>
    <w:qFormat/>
    <w:uiPriority w:val="0"/>
    <w:pPr>
      <w:spacing w:line="480" w:lineRule="auto"/>
      <w:ind w:left="420" w:leftChars="200"/>
    </w:pPr>
  </w:style>
  <w:style w:type="paragraph" w:styleId="13">
    <w:name w:val="Balloon Text"/>
    <w:basedOn w:val="1"/>
    <w:link w:val="35"/>
    <w:qFormat/>
    <w:uiPriority w:val="0"/>
    <w:rPr>
      <w:sz w:val="18"/>
      <w:szCs w:val="18"/>
    </w:rPr>
  </w:style>
  <w:style w:type="paragraph" w:styleId="14">
    <w:name w:val="footer"/>
    <w:basedOn w:val="1"/>
    <w:next w:val="1"/>
    <w:qFormat/>
    <w:uiPriority w:val="99"/>
    <w:pPr>
      <w:tabs>
        <w:tab w:val="center" w:pos="4153"/>
        <w:tab w:val="right" w:pos="8306"/>
      </w:tabs>
      <w:snapToGrid w:val="0"/>
      <w:jc w:val="left"/>
    </w:pPr>
    <w:rPr>
      <w:sz w:val="18"/>
      <w:szCs w:val="18"/>
    </w:rPr>
  </w:style>
  <w:style w:type="paragraph" w:styleId="15">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next w:val="17"/>
    <w:qFormat/>
    <w:uiPriority w:val="0"/>
    <w:pPr>
      <w:widowControl/>
      <w:spacing w:before="100" w:beforeAutospacing="1" w:after="100" w:afterAutospacing="1"/>
      <w:jc w:val="left"/>
    </w:pPr>
    <w:rPr>
      <w:rFonts w:ascii="宋体" w:hAnsi="宋体" w:cs="宋体"/>
      <w:kern w:val="0"/>
      <w:sz w:val="24"/>
    </w:rPr>
  </w:style>
  <w:style w:type="paragraph" w:customStyle="1" w:styleId="17">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sz w:val="24"/>
      <w:szCs w:val="20"/>
    </w:rPr>
  </w:style>
  <w:style w:type="paragraph" w:styleId="18">
    <w:name w:val="Title"/>
    <w:basedOn w:val="1"/>
    <w:next w:val="1"/>
    <w:qFormat/>
    <w:uiPriority w:val="0"/>
    <w:pPr>
      <w:jc w:val="center"/>
      <w:outlineLvl w:val="0"/>
    </w:pPr>
    <w:rPr>
      <w:rFonts w:ascii="Cambria" w:hAnsi="Cambria"/>
      <w:b/>
      <w:bCs/>
      <w:kern w:val="0"/>
      <w:sz w:val="32"/>
      <w:szCs w:val="32"/>
    </w:rPr>
  </w:style>
  <w:style w:type="paragraph" w:styleId="19">
    <w:name w:val="Body Text First Indent"/>
    <w:basedOn w:val="10"/>
    <w:next w:val="20"/>
    <w:qFormat/>
    <w:uiPriority w:val="0"/>
    <w:pPr>
      <w:ind w:firstLine="420" w:firstLineChars="100"/>
    </w:pPr>
    <w:rPr>
      <w:rFonts w:ascii="Times New Roman" w:hAnsi="Times New Roman"/>
      <w:szCs w:val="20"/>
    </w:rPr>
  </w:style>
  <w:style w:type="paragraph" w:styleId="20">
    <w:name w:val="Body Text First Indent 2"/>
    <w:basedOn w:val="6"/>
    <w:qFormat/>
    <w:uiPriority w:val="99"/>
    <w:pPr>
      <w:tabs>
        <w:tab w:val="left" w:pos="4606"/>
      </w:tabs>
      <w:ind w:firstLine="420"/>
    </w:pPr>
  </w:style>
  <w:style w:type="table" w:styleId="22">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Hyperlink"/>
    <w:basedOn w:val="23"/>
    <w:qFormat/>
    <w:uiPriority w:val="0"/>
    <w:rPr>
      <w:color w:val="0000FF"/>
      <w:u w:val="single"/>
    </w:rPr>
  </w:style>
  <w:style w:type="character" w:styleId="26">
    <w:name w:val="annotation reference"/>
    <w:basedOn w:val="23"/>
    <w:qFormat/>
    <w:uiPriority w:val="0"/>
    <w:rPr>
      <w:sz w:val="21"/>
      <w:szCs w:val="21"/>
    </w:rPr>
  </w:style>
  <w:style w:type="paragraph" w:customStyle="1" w:styleId="27">
    <w:name w:val="Fließtext"/>
    <w:basedOn w:val="1"/>
    <w:qFormat/>
    <w:uiPriority w:val="0"/>
    <w:pPr>
      <w:overflowPunct w:val="0"/>
      <w:autoSpaceDE w:val="0"/>
      <w:autoSpaceDN w:val="0"/>
      <w:adjustRightInd w:val="0"/>
      <w:textAlignment w:val="baseline"/>
    </w:pPr>
    <w:rPr>
      <w:kern w:val="28"/>
      <w:szCs w:val="20"/>
    </w:r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9">
    <w:name w:val="样式3"/>
    <w:basedOn w:val="11"/>
    <w:qFormat/>
    <w:uiPriority w:val="0"/>
    <w:pPr>
      <w:spacing w:line="0" w:lineRule="atLeast"/>
      <w:outlineLvl w:val="0"/>
    </w:pPr>
    <w:rPr>
      <w:sz w:val="28"/>
    </w:rPr>
  </w:style>
  <w:style w:type="character" w:customStyle="1" w:styleId="30">
    <w:name w:val="NormalCharacter"/>
    <w:semiHidden/>
    <w:qFormat/>
    <w:uiPriority w:val="0"/>
    <w:rPr>
      <w:kern w:val="2"/>
      <w:sz w:val="21"/>
      <w:szCs w:val="24"/>
      <w:lang w:val="en-US" w:eastAsia="zh-CN" w:bidi="ar-SA"/>
    </w:rPr>
  </w:style>
  <w:style w:type="paragraph" w:customStyle="1" w:styleId="31">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apple-converted-space"/>
    <w:qFormat/>
    <w:uiPriority w:val="0"/>
    <w:rPr>
      <w:rFonts w:ascii="Times New Roman" w:hAnsi="Times New Roman" w:eastAsia="宋体" w:cs="Times New Roman"/>
    </w:rPr>
  </w:style>
  <w:style w:type="paragraph" w:customStyle="1" w:styleId="33">
    <w:name w:val="null3"/>
    <w:qFormat/>
    <w:uiPriority w:val="0"/>
    <w:rPr>
      <w:rFonts w:hint="eastAsia" w:ascii="Calibri" w:hAnsi="Calibri" w:eastAsia="宋体" w:cs="Times New Roman"/>
      <w:lang w:val="en-US" w:eastAsia="zh-CN" w:bidi="ar-SA"/>
    </w:rPr>
  </w:style>
  <w:style w:type="character" w:customStyle="1" w:styleId="34">
    <w:name w:val="页眉 Char"/>
    <w:basedOn w:val="23"/>
    <w:link w:val="15"/>
    <w:qFormat/>
    <w:uiPriority w:val="0"/>
    <w:rPr>
      <w:rFonts w:ascii="Calibri" w:hAnsi="Calibri"/>
      <w:kern w:val="2"/>
      <w:sz w:val="18"/>
      <w:szCs w:val="18"/>
    </w:rPr>
  </w:style>
  <w:style w:type="character" w:customStyle="1" w:styleId="35">
    <w:name w:val="批注框文本 Char"/>
    <w:basedOn w:val="23"/>
    <w:link w:val="13"/>
    <w:qFormat/>
    <w:uiPriority w:val="0"/>
    <w:rPr>
      <w:rFonts w:ascii="Calibri" w:hAnsi="Calibri"/>
      <w:kern w:val="2"/>
      <w:sz w:val="18"/>
      <w:szCs w:val="18"/>
    </w:rPr>
  </w:style>
  <w:style w:type="character" w:customStyle="1" w:styleId="36">
    <w:name w:val="font31"/>
    <w:basedOn w:val="23"/>
    <w:qFormat/>
    <w:uiPriority w:val="0"/>
    <w:rPr>
      <w:rFonts w:hint="eastAsia" w:ascii="宋体" w:hAnsi="宋体" w:eastAsia="宋体" w:cs="宋体"/>
      <w:color w:val="000000"/>
      <w:sz w:val="22"/>
      <w:szCs w:val="22"/>
      <w:u w:val="none"/>
    </w:rPr>
  </w:style>
  <w:style w:type="paragraph" w:customStyle="1" w:styleId="37">
    <w:name w:val="cjk"/>
    <w:basedOn w:val="1"/>
    <w:qFormat/>
    <w:uiPriority w:val="0"/>
    <w:pPr>
      <w:widowControl/>
      <w:spacing w:before="100" w:beforeAutospacing="1" w:after="100" w:afterAutospacing="1"/>
      <w:jc w:val="left"/>
    </w:pPr>
    <w:rPr>
      <w:rFonts w:ascii="宋体" w:hAnsi="宋体" w:cs="宋体"/>
      <w:kern w:val="0"/>
      <w:sz w:val="24"/>
    </w:rPr>
  </w:style>
  <w:style w:type="paragraph" w:styleId="3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18147</Words>
  <Characters>18924</Characters>
  <Lines>107</Lines>
  <Paragraphs>30</Paragraphs>
  <TotalTime>1</TotalTime>
  <ScaleCrop>false</ScaleCrop>
  <LinksUpToDate>false</LinksUpToDate>
  <CharactersWithSpaces>19574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cp:lastPrinted>2024-05-08T08:34:00Z</cp:lastPrinted>
  <dcterms:modified xsi:type="dcterms:W3CDTF">2024-12-24T01:26:26Z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C5EE49C6C5374A12AB10AE8B075203FB_13</vt:lpwstr>
  </property>
</Properties>
</file>